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i w:val="0"/>
          <w:caps w:val="0"/>
          <w:color w:val="424242"/>
          <w:spacing w:val="0"/>
          <w:sz w:val="44"/>
          <w:szCs w:val="44"/>
        </w:rPr>
      </w:pPr>
      <w:r>
        <w:rPr>
          <w:rFonts w:hint="eastAsia" w:ascii="方正小标宋简体" w:hAnsi="方正小标宋简体" w:eastAsia="方正小标宋简体" w:cs="方正小标宋简体"/>
          <w:i w:val="0"/>
          <w:caps w:val="0"/>
          <w:color w:val="000000"/>
          <w:spacing w:val="0"/>
          <w:kern w:val="0"/>
          <w:sz w:val="44"/>
          <w:szCs w:val="44"/>
          <w:shd w:val="clear" w:fill="FFFFFF"/>
          <w:lang w:val="en-US" w:eastAsia="zh-CN" w:bidi="ar"/>
        </w:rPr>
        <w:t>吴川市科工贸和信息化局2019年政府信息公开工作年度报告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firstLineChars="200"/>
        <w:jc w:val="left"/>
        <w:rPr>
          <w:rFonts w:hint="eastAsia" w:ascii="仿宋_GB2312" w:hAnsi="微软雅黑" w:eastAsia="仿宋_GB2312" w:cs="仿宋_GB2312"/>
          <w:i w:val="0"/>
          <w:caps w:val="0"/>
          <w:color w:val="000000"/>
          <w:spacing w:val="0"/>
          <w:kern w:val="0"/>
          <w:sz w:val="28"/>
          <w:szCs w:val="28"/>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firstLineChars="200"/>
        <w:jc w:val="left"/>
        <w:rPr>
          <w:rFonts w:hint="eastAsia" w:ascii="微软雅黑" w:hAnsi="微软雅黑" w:eastAsia="微软雅黑" w:cs="微软雅黑"/>
          <w:i w:val="0"/>
          <w:caps w:val="0"/>
          <w:color w:val="424242"/>
          <w:spacing w:val="0"/>
          <w:sz w:val="32"/>
          <w:szCs w:val="32"/>
        </w:rPr>
      </w:pPr>
      <w:r>
        <w:rPr>
          <w:rFonts w:hint="eastAsia" w:ascii="仿宋_GB2312" w:hAnsi="微软雅黑" w:eastAsia="仿宋_GB2312" w:cs="仿宋_GB2312"/>
          <w:i w:val="0"/>
          <w:caps w:val="0"/>
          <w:color w:val="000000"/>
          <w:spacing w:val="0"/>
          <w:kern w:val="0"/>
          <w:sz w:val="28"/>
          <w:szCs w:val="28"/>
          <w:shd w:val="clear" w:fill="FFFFFF"/>
          <w:lang w:val="en-US" w:eastAsia="zh-CN" w:bidi="ar"/>
        </w:rPr>
        <w:t>2019</w:t>
      </w:r>
      <w:r>
        <w:rPr>
          <w:rFonts w:ascii="仿宋_GB2312" w:hAnsi="微软雅黑" w:eastAsia="仿宋_GB2312" w:cs="仿宋_GB2312"/>
          <w:i w:val="0"/>
          <w:caps w:val="0"/>
          <w:color w:val="000000"/>
          <w:spacing w:val="0"/>
          <w:kern w:val="0"/>
          <w:sz w:val="28"/>
          <w:szCs w:val="28"/>
          <w:shd w:val="clear" w:fill="FFFFFF"/>
          <w:lang w:val="en-US" w:eastAsia="zh-CN" w:bidi="ar"/>
        </w:rPr>
        <w:t>年，我局深入贯彻落实</w:t>
      </w:r>
      <w:r>
        <w:rPr>
          <w:rFonts w:hint="eastAsia" w:ascii="仿宋_GB2312" w:hAnsi="微软雅黑" w:eastAsia="仿宋_GB2312" w:cs="仿宋_GB2312"/>
          <w:i w:val="0"/>
          <w:caps w:val="0"/>
          <w:color w:val="000000"/>
          <w:spacing w:val="0"/>
          <w:kern w:val="0"/>
          <w:sz w:val="28"/>
          <w:szCs w:val="28"/>
          <w:shd w:val="clear" w:fill="FFFFFF"/>
          <w:lang w:val="en-US" w:eastAsia="zh-CN" w:bidi="ar"/>
        </w:rPr>
        <w:t>党的</w:t>
      </w:r>
      <w:bookmarkStart w:id="0" w:name="_GoBack"/>
      <w:bookmarkEnd w:id="0"/>
      <w:r>
        <w:rPr>
          <w:rFonts w:ascii="仿宋_GB2312" w:hAnsi="微软雅黑" w:eastAsia="仿宋_GB2312" w:cs="仿宋_GB2312"/>
          <w:i w:val="0"/>
          <w:caps w:val="0"/>
          <w:color w:val="000000"/>
          <w:spacing w:val="0"/>
          <w:kern w:val="0"/>
          <w:sz w:val="28"/>
          <w:szCs w:val="28"/>
          <w:shd w:val="clear" w:fill="FFFFFF"/>
          <w:lang w:val="en-US" w:eastAsia="zh-CN" w:bidi="ar"/>
        </w:rPr>
        <w:t>十九大精神，认真实施《中华人民共和国政府信息公开条例》（以下简称《条例》），根据市委市政府的要求，结合工作实际，以公正、公平、便民为准则,开展政府信息公开工作，取得了一定成效。本报告由概述、主动公开政府信息情况、依申请公开政府信息情况及咨询受理情况、复议、诉讼和申诉情况、政府信息公开收费和减免情况、存在问题及改进措施六部分组成。报告中所列数据的统计期限自</w:t>
      </w:r>
      <w:r>
        <w:rPr>
          <w:rFonts w:hint="eastAsia" w:ascii="仿宋_GB2312" w:hAnsi="微软雅黑" w:eastAsia="仿宋_GB2312" w:cs="仿宋_GB2312"/>
          <w:i w:val="0"/>
          <w:caps w:val="0"/>
          <w:color w:val="000000"/>
          <w:spacing w:val="0"/>
          <w:kern w:val="0"/>
          <w:sz w:val="28"/>
          <w:szCs w:val="28"/>
          <w:shd w:val="clear" w:fill="FFFFFF"/>
          <w:lang w:val="en-US" w:eastAsia="zh-CN" w:bidi="ar"/>
        </w:rPr>
        <w:t>2019</w:t>
      </w:r>
      <w:r>
        <w:rPr>
          <w:rFonts w:ascii="仿宋_GB2312" w:hAnsi="微软雅黑" w:eastAsia="仿宋_GB2312" w:cs="仿宋_GB2312"/>
          <w:i w:val="0"/>
          <w:caps w:val="0"/>
          <w:color w:val="000000"/>
          <w:spacing w:val="0"/>
          <w:kern w:val="0"/>
          <w:sz w:val="28"/>
          <w:szCs w:val="28"/>
          <w:shd w:val="clear" w:fill="FFFFFF"/>
          <w:lang w:val="en-US" w:eastAsia="zh-CN" w:bidi="ar"/>
        </w:rPr>
        <w:t>年1月1日起至</w:t>
      </w:r>
      <w:r>
        <w:rPr>
          <w:rFonts w:hint="eastAsia" w:ascii="仿宋_GB2312" w:hAnsi="微软雅黑" w:eastAsia="仿宋_GB2312" w:cs="仿宋_GB2312"/>
          <w:i w:val="0"/>
          <w:caps w:val="0"/>
          <w:color w:val="000000"/>
          <w:spacing w:val="0"/>
          <w:kern w:val="0"/>
          <w:sz w:val="28"/>
          <w:szCs w:val="28"/>
          <w:shd w:val="clear" w:fill="FFFFFF"/>
          <w:lang w:val="en-US" w:eastAsia="zh-CN" w:bidi="ar"/>
        </w:rPr>
        <w:t>2019</w:t>
      </w:r>
      <w:r>
        <w:rPr>
          <w:rFonts w:ascii="仿宋_GB2312" w:hAnsi="微软雅黑" w:eastAsia="仿宋_GB2312" w:cs="仿宋_GB2312"/>
          <w:i w:val="0"/>
          <w:caps w:val="0"/>
          <w:color w:val="000000"/>
          <w:spacing w:val="0"/>
          <w:kern w:val="0"/>
          <w:sz w:val="28"/>
          <w:szCs w:val="28"/>
          <w:shd w:val="clear" w:fill="FFFFFF"/>
          <w:lang w:val="en-US" w:eastAsia="zh-CN" w:bidi="ar"/>
        </w:rPr>
        <w:t>年12月31日止。本报告全文在湛江市政府门户网站政府和吴川市政府门户网站公布，欢迎查阅。如对本报告有疑问，可与局办公室联系（地址：吴川市解放中路148号，邮编：524500，电话：0759—5581988）</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3"/>
        <w:jc w:val="left"/>
        <w:rPr>
          <w:rFonts w:hint="eastAsia" w:ascii="微软雅黑" w:hAnsi="微软雅黑" w:eastAsia="微软雅黑" w:cs="微软雅黑"/>
          <w:i w:val="0"/>
          <w:caps w:val="0"/>
          <w:color w:val="424242"/>
          <w:spacing w:val="0"/>
          <w:sz w:val="32"/>
          <w:szCs w:val="32"/>
        </w:rPr>
      </w:pPr>
      <w:r>
        <w:rPr>
          <w:rFonts w:hint="eastAsia" w:ascii="仿宋_GB2312" w:hAnsi="微软雅黑" w:eastAsia="仿宋_GB2312" w:cs="仿宋_GB2312"/>
          <w:b/>
          <w:i w:val="0"/>
          <w:caps w:val="0"/>
          <w:color w:val="000000"/>
          <w:spacing w:val="0"/>
          <w:kern w:val="0"/>
          <w:sz w:val="28"/>
          <w:szCs w:val="28"/>
          <w:shd w:val="clear" w:fill="FFFFFF"/>
          <w:lang w:val="en-US" w:eastAsia="zh-CN" w:bidi="ar"/>
        </w:rPr>
        <w:t>一、概述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0"/>
        <w:jc w:val="left"/>
        <w:rPr>
          <w:rFonts w:hint="eastAsia" w:ascii="微软雅黑" w:hAnsi="微软雅黑" w:eastAsia="微软雅黑" w:cs="微软雅黑"/>
          <w:i w:val="0"/>
          <w:caps w:val="0"/>
          <w:color w:val="424242"/>
          <w:spacing w:val="0"/>
          <w:sz w:val="32"/>
          <w:szCs w:val="32"/>
        </w:rPr>
      </w:pPr>
      <w:r>
        <w:rPr>
          <w:rFonts w:hint="eastAsia" w:ascii="仿宋_GB2312" w:hAnsi="微软雅黑" w:eastAsia="仿宋_GB2312" w:cs="仿宋_GB2312"/>
          <w:i w:val="0"/>
          <w:caps w:val="0"/>
          <w:color w:val="000000"/>
          <w:spacing w:val="0"/>
          <w:kern w:val="0"/>
          <w:sz w:val="28"/>
          <w:szCs w:val="28"/>
          <w:shd w:val="clear" w:fill="FFFFFF"/>
          <w:lang w:val="en-US" w:eastAsia="zh-CN" w:bidi="ar"/>
        </w:rPr>
        <w:t>2019年，我局按照《条例》要求，以保障公众知情权为宗旨，以方便公众查询为着力点，不断拓展信息公开途径，加强信息公开载体建设，稳步推进信息公开工作，在宣传科工贸局、增强工作透明度、保证权力阳光运行等方面取得了一定成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0"/>
        <w:jc w:val="left"/>
        <w:rPr>
          <w:rFonts w:hint="eastAsia" w:ascii="微软雅黑" w:hAnsi="微软雅黑" w:eastAsia="微软雅黑" w:cs="微软雅黑"/>
          <w:i w:val="0"/>
          <w:caps w:val="0"/>
          <w:color w:val="424242"/>
          <w:spacing w:val="0"/>
          <w:sz w:val="32"/>
          <w:szCs w:val="32"/>
        </w:rPr>
      </w:pPr>
      <w:r>
        <w:rPr>
          <w:rFonts w:hint="eastAsia" w:ascii="仿宋_GB2312" w:hAnsi="微软雅黑" w:eastAsia="仿宋_GB2312" w:cs="仿宋_GB2312"/>
          <w:i w:val="0"/>
          <w:caps w:val="0"/>
          <w:color w:val="000000"/>
          <w:spacing w:val="0"/>
          <w:kern w:val="0"/>
          <w:sz w:val="28"/>
          <w:szCs w:val="28"/>
          <w:shd w:val="clear" w:fill="FFFFFF"/>
          <w:lang w:val="en-US" w:eastAsia="zh-CN" w:bidi="ar"/>
        </w:rPr>
        <w:t>（一）健全组织，强化领导，推动信息公开工作稳步开展。我局高度重视政府信息公开工作，主要领导亲抓,办公室负责全局政府信息公开工作的推进、协调和监督。在任务较重、人手较少的情况下，充分调动各业务股积极性，制定计划、落实责任、强化监督，保证了政府信息公开工作有条不紊推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0"/>
        <w:jc w:val="left"/>
        <w:rPr>
          <w:rFonts w:hint="eastAsia" w:ascii="微软雅黑" w:hAnsi="微软雅黑" w:eastAsia="微软雅黑" w:cs="微软雅黑"/>
          <w:i w:val="0"/>
          <w:caps w:val="0"/>
          <w:color w:val="424242"/>
          <w:spacing w:val="0"/>
          <w:sz w:val="32"/>
          <w:szCs w:val="32"/>
        </w:rPr>
      </w:pPr>
      <w:r>
        <w:rPr>
          <w:rFonts w:hint="eastAsia" w:ascii="仿宋_GB2312" w:hAnsi="微软雅黑" w:eastAsia="仿宋_GB2312" w:cs="仿宋_GB2312"/>
          <w:i w:val="0"/>
          <w:caps w:val="0"/>
          <w:color w:val="000000"/>
          <w:spacing w:val="0"/>
          <w:kern w:val="0"/>
          <w:sz w:val="28"/>
          <w:szCs w:val="28"/>
          <w:shd w:val="clear" w:fill="FFFFFF"/>
          <w:lang w:val="en-US" w:eastAsia="zh-CN" w:bidi="ar"/>
        </w:rPr>
        <w:t>（二）加强网络平台建设。在湛江市政府和吴川市政府门户网站分支下的我局网站上，及时全面发布国家、省、市和地方经济、信息化和科技法规制度、政策措施、工作动态等各类信息，为公众了解我市经信、科技动态提供方便。同时，公布了办理程序、依据、条件、时限及联系方式等，方便企事业单位和群众办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0"/>
        <w:jc w:val="left"/>
        <w:rPr>
          <w:rFonts w:hint="eastAsia" w:ascii="微软雅黑" w:hAnsi="微软雅黑" w:eastAsia="微软雅黑" w:cs="微软雅黑"/>
          <w:i w:val="0"/>
          <w:caps w:val="0"/>
          <w:color w:val="auto"/>
          <w:spacing w:val="0"/>
          <w:sz w:val="32"/>
          <w:szCs w:val="32"/>
        </w:rPr>
      </w:pPr>
      <w:r>
        <w:rPr>
          <w:rFonts w:hint="eastAsia" w:ascii="仿宋_GB2312" w:hAnsi="微软雅黑" w:eastAsia="仿宋_GB2312" w:cs="仿宋_GB2312"/>
          <w:i w:val="0"/>
          <w:caps w:val="0"/>
          <w:color w:val="auto"/>
          <w:spacing w:val="0"/>
          <w:kern w:val="0"/>
          <w:sz w:val="28"/>
          <w:szCs w:val="28"/>
          <w:shd w:val="clear" w:fill="FFFFFF"/>
          <w:lang w:val="en-US" w:eastAsia="zh-CN" w:bidi="ar"/>
        </w:rPr>
        <w:t>（三）拓展渠道，确保公众方便及时获取公开信息。定期发布吴川市工业商贸运行态势、行业动态等分析以及提供政策信息指导服务。开展清洁生产等宣传活动，向企业和群众免费派发相关知识小册子和宣传单。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0"/>
        <w:jc w:val="left"/>
        <w:rPr>
          <w:rFonts w:hint="eastAsia" w:ascii="微软雅黑" w:hAnsi="微软雅黑" w:eastAsia="微软雅黑" w:cs="微软雅黑"/>
          <w:i w:val="0"/>
          <w:caps w:val="0"/>
          <w:color w:val="auto"/>
          <w:spacing w:val="0"/>
          <w:sz w:val="32"/>
          <w:szCs w:val="32"/>
        </w:rPr>
      </w:pPr>
      <w:r>
        <w:rPr>
          <w:rFonts w:hint="eastAsia" w:ascii="仿宋_GB2312" w:hAnsi="微软雅黑" w:eastAsia="仿宋_GB2312" w:cs="仿宋_GB2312"/>
          <w:i w:val="0"/>
          <w:caps w:val="0"/>
          <w:color w:val="auto"/>
          <w:spacing w:val="0"/>
          <w:kern w:val="0"/>
          <w:sz w:val="28"/>
          <w:szCs w:val="28"/>
          <w:shd w:val="clear" w:fill="FFFFFF"/>
          <w:lang w:val="en-US" w:eastAsia="zh-CN" w:bidi="ar"/>
        </w:rPr>
        <w:t>（四）强化指导，不断完善政府信息公开保障和激励机制。按照市政府信息公开工作要求，组织各股室信息员进行了业务培训，加强对政府信息公开工作的指导，并纳入局优秀股室评选考核内容，有效调动了局政府信息公开工作的积极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3"/>
        <w:jc w:val="left"/>
        <w:rPr>
          <w:rFonts w:hint="eastAsia" w:ascii="仿宋_GB2312" w:hAnsi="微软雅黑" w:eastAsia="仿宋_GB2312" w:cs="仿宋_GB2312"/>
          <w:b/>
          <w:i w:val="0"/>
          <w:caps w:val="0"/>
          <w:color w:val="auto"/>
          <w:spacing w:val="0"/>
          <w:kern w:val="0"/>
          <w:sz w:val="28"/>
          <w:szCs w:val="28"/>
          <w:shd w:val="clear" w:fill="FFFFFF"/>
          <w:lang w:val="en-US" w:eastAsia="zh-CN" w:bidi="ar"/>
        </w:rPr>
      </w:pPr>
      <w:r>
        <w:rPr>
          <w:rFonts w:hint="eastAsia" w:ascii="仿宋_GB2312" w:hAnsi="微软雅黑" w:eastAsia="仿宋_GB2312" w:cs="仿宋_GB2312"/>
          <w:b/>
          <w:i w:val="0"/>
          <w:caps w:val="0"/>
          <w:color w:val="auto"/>
          <w:spacing w:val="0"/>
          <w:kern w:val="0"/>
          <w:sz w:val="28"/>
          <w:szCs w:val="28"/>
          <w:shd w:val="clear" w:fill="FFFFFF"/>
          <w:lang w:val="en-US" w:eastAsia="zh-CN" w:bidi="ar"/>
        </w:rPr>
        <w:t>二、主动公开政府信息情况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0"/>
        <w:jc w:val="left"/>
        <w:rPr>
          <w:rFonts w:hint="eastAsia" w:ascii="仿宋_GB2312" w:hAnsi="微软雅黑" w:eastAsia="仿宋_GB2312" w:cs="仿宋_GB2312"/>
          <w:i w:val="0"/>
          <w:caps w:val="0"/>
          <w:color w:val="000000"/>
          <w:spacing w:val="0"/>
          <w:kern w:val="0"/>
          <w:sz w:val="28"/>
          <w:szCs w:val="28"/>
          <w:shd w:val="clear" w:fill="FFFFFF"/>
          <w:lang w:val="en-US" w:eastAsia="zh-CN" w:bidi="ar"/>
        </w:rPr>
      </w:pPr>
      <w:r>
        <w:rPr>
          <w:rFonts w:hint="eastAsia" w:ascii="仿宋_GB2312" w:hAnsi="微软雅黑" w:eastAsia="仿宋_GB2312" w:cs="仿宋_GB2312"/>
          <w:i w:val="0"/>
          <w:caps w:val="0"/>
          <w:color w:val="000000"/>
          <w:spacing w:val="0"/>
          <w:kern w:val="0"/>
          <w:sz w:val="28"/>
          <w:szCs w:val="28"/>
          <w:shd w:val="clear" w:fill="FFFFFF"/>
          <w:lang w:val="en-US" w:eastAsia="zh-CN" w:bidi="ar"/>
        </w:rPr>
        <w:t>我局主要通过局网站、报刊等方式主动公开我局的政府信息。2019年，我局在湛江市政府网站和吴川市政府网站下分支的网站发布机构职能、领导分工、公开指南、办事指南、工作动态、财政预决算、信息公开年度报告等专栏信息共72条，在《吴川新闻报》、吴川电台、吴川市政府网站发布新闻报道共10条。全年没有公共资源交易、重大建设项目批准和实施、公益事业建设等重点领域情况。全年受理政协提案1份，均已按时答复政协委员，并抄送市人民政府办公室（督办股）和市政协提案委。</w:t>
      </w:r>
    </w:p>
    <w:tbl>
      <w:tblPr>
        <w:tblStyle w:val="3"/>
        <w:tblW w:w="8140" w:type="dxa"/>
        <w:jc w:val="center"/>
        <w:tblLayout w:type="fixed"/>
        <w:tblCellMar>
          <w:top w:w="0" w:type="dxa"/>
          <w:left w:w="0" w:type="dxa"/>
          <w:bottom w:w="0" w:type="dxa"/>
          <w:right w:w="0" w:type="dxa"/>
        </w:tblCellMar>
      </w:tblPr>
      <w:tblGrid>
        <w:gridCol w:w="3113"/>
        <w:gridCol w:w="1869"/>
        <w:gridCol w:w="1277"/>
        <w:gridCol w:w="1881"/>
      </w:tblGrid>
      <w:tr>
        <w:tblPrEx>
          <w:tblCellMar>
            <w:top w:w="0" w:type="dxa"/>
            <w:left w:w="0" w:type="dxa"/>
            <w:bottom w:w="0" w:type="dxa"/>
            <w:right w:w="0" w:type="dxa"/>
          </w:tblCellMar>
        </w:tblPrEx>
        <w:trPr>
          <w:trHeight w:val="495" w:hRule="atLeast"/>
          <w:jc w:val="center"/>
        </w:trPr>
        <w:tc>
          <w:tcPr>
            <w:tcW w:w="8140" w:type="dxa"/>
            <w:gridSpan w:val="4"/>
            <w:tcBorders>
              <w:top w:val="single" w:color="auto" w:sz="8" w:space="0"/>
              <w:left w:val="single" w:color="auto" w:sz="8" w:space="0"/>
              <w:bottom w:val="single" w:color="auto" w:sz="8" w:space="0"/>
              <w:right w:val="single" w:color="auto" w:sz="8" w:space="0"/>
            </w:tcBorders>
            <w:shd w:val="clear" w:color="auto" w:fill="C6D9F1"/>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第二十条第（一）项</w:t>
            </w:r>
          </w:p>
        </w:tc>
      </w:tr>
      <w:tr>
        <w:tblPrEx>
          <w:tblCellMar>
            <w:top w:w="0" w:type="dxa"/>
            <w:left w:w="0" w:type="dxa"/>
            <w:bottom w:w="0" w:type="dxa"/>
            <w:right w:w="0" w:type="dxa"/>
          </w:tblCellMar>
        </w:tblPrEx>
        <w:trPr>
          <w:trHeight w:val="882" w:hRule="atLeast"/>
          <w:jc w:val="center"/>
        </w:trPr>
        <w:tc>
          <w:tcPr>
            <w:tcW w:w="311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信息内容</w:t>
            </w:r>
          </w:p>
        </w:tc>
        <w:tc>
          <w:tcPr>
            <w:tcW w:w="1869"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本年新</w:t>
            </w:r>
            <w:r>
              <w:rPr>
                <w:rFonts w:hint="eastAsia" w:ascii="宋体" w:hAnsi="宋体" w:eastAsia="宋体" w:cs="宋体"/>
                <w:color w:val="000000"/>
                <w:kern w:val="0"/>
                <w:sz w:val="20"/>
                <w:szCs w:val="20"/>
              </w:rPr>
              <w:br w:type="textWrapping"/>
            </w:r>
            <w:r>
              <w:rPr>
                <w:kern w:val="0"/>
                <w:sz w:val="20"/>
                <w:szCs w:val="20"/>
              </w:rPr>
              <w:t>制作数量</w:t>
            </w:r>
          </w:p>
        </w:tc>
        <w:tc>
          <w:tcPr>
            <w:tcW w:w="1277"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本年新</w:t>
            </w:r>
            <w:r>
              <w:rPr>
                <w:rFonts w:hint="eastAsia" w:ascii="宋体" w:hAnsi="宋体" w:eastAsia="宋体" w:cs="宋体"/>
                <w:color w:val="000000"/>
                <w:kern w:val="0"/>
                <w:sz w:val="20"/>
                <w:szCs w:val="20"/>
              </w:rPr>
              <w:br w:type="textWrapping"/>
            </w:r>
            <w:r>
              <w:rPr>
                <w:kern w:val="0"/>
                <w:sz w:val="20"/>
                <w:szCs w:val="20"/>
              </w:rPr>
              <w:t>公开数量</w:t>
            </w:r>
          </w:p>
        </w:tc>
        <w:tc>
          <w:tcPr>
            <w:tcW w:w="188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对外公开总数量</w:t>
            </w:r>
          </w:p>
        </w:tc>
      </w:tr>
      <w:tr>
        <w:tblPrEx>
          <w:tblCellMar>
            <w:top w:w="0" w:type="dxa"/>
            <w:left w:w="0" w:type="dxa"/>
            <w:bottom w:w="0" w:type="dxa"/>
            <w:right w:w="0" w:type="dxa"/>
          </w:tblCellMar>
        </w:tblPrEx>
        <w:trPr>
          <w:trHeight w:val="523" w:hRule="atLeast"/>
          <w:jc w:val="center"/>
        </w:trPr>
        <w:tc>
          <w:tcPr>
            <w:tcW w:w="311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jc w:val="left"/>
            </w:pPr>
            <w:r>
              <w:rPr>
                <w:rFonts w:hint="eastAsia" w:ascii="宋体" w:hAnsi="宋体" w:eastAsia="宋体" w:cs="宋体"/>
                <w:color w:val="000000"/>
                <w:kern w:val="0"/>
                <w:sz w:val="20"/>
                <w:szCs w:val="20"/>
              </w:rPr>
              <w:t>规章</w:t>
            </w:r>
          </w:p>
        </w:tc>
        <w:tc>
          <w:tcPr>
            <w:tcW w:w="186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eastAsiaTheme="minorEastAsia"/>
                <w:lang w:eastAsia="zh-CN"/>
              </w:rPr>
            </w:pPr>
            <w:r>
              <w:rPr>
                <w:rFonts w:hint="eastAsia" w:ascii="宋体" w:hAnsi="宋体" w:eastAsia="宋体" w:cs="宋体"/>
                <w:color w:val="000000"/>
                <w:kern w:val="0"/>
                <w:sz w:val="20"/>
                <w:szCs w:val="20"/>
                <w:lang w:eastAsia="zh-CN"/>
              </w:rPr>
              <w:t>0</w:t>
            </w:r>
          </w:p>
        </w:tc>
        <w:tc>
          <w:tcPr>
            <w:tcW w:w="127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default" w:eastAsiaTheme="minorEastAsia"/>
                <w:lang w:val="en-US" w:eastAsia="zh-CN"/>
              </w:rPr>
            </w:pPr>
            <w:r>
              <w:rPr>
                <w:rFonts w:hint="eastAsia"/>
                <w:lang w:val="en-US" w:eastAsia="zh-CN"/>
              </w:rPr>
              <w:t>0</w:t>
            </w:r>
          </w:p>
        </w:tc>
        <w:tc>
          <w:tcPr>
            <w:tcW w:w="188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eastAsiaTheme="minorEastAsia"/>
                <w:lang w:val="en-US" w:eastAsia="zh-CN"/>
              </w:rPr>
            </w:pPr>
            <w:r>
              <w:rPr>
                <w:rFonts w:hint="eastAsia"/>
                <w:lang w:val="en-US" w:eastAsia="zh-CN"/>
              </w:rPr>
              <w:t>0</w:t>
            </w:r>
          </w:p>
        </w:tc>
      </w:tr>
      <w:tr>
        <w:tblPrEx>
          <w:tblCellMar>
            <w:top w:w="0" w:type="dxa"/>
            <w:left w:w="0" w:type="dxa"/>
            <w:bottom w:w="0" w:type="dxa"/>
            <w:right w:w="0" w:type="dxa"/>
          </w:tblCellMar>
        </w:tblPrEx>
        <w:trPr>
          <w:trHeight w:val="471" w:hRule="atLeast"/>
          <w:jc w:val="center"/>
        </w:trPr>
        <w:tc>
          <w:tcPr>
            <w:tcW w:w="311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jc w:val="left"/>
            </w:pPr>
            <w:r>
              <w:rPr>
                <w:rFonts w:hint="eastAsia" w:ascii="宋体" w:hAnsi="宋体" w:eastAsia="宋体" w:cs="宋体"/>
                <w:color w:val="000000"/>
                <w:kern w:val="0"/>
                <w:sz w:val="20"/>
                <w:szCs w:val="20"/>
              </w:rPr>
              <w:t>规范性文件</w:t>
            </w:r>
          </w:p>
        </w:tc>
        <w:tc>
          <w:tcPr>
            <w:tcW w:w="186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eastAsiaTheme="minorEastAsia"/>
                <w:lang w:val="en-US" w:eastAsia="zh-CN"/>
              </w:rPr>
            </w:pPr>
            <w:r>
              <w:rPr>
                <w:rFonts w:hint="eastAsia" w:ascii="宋体" w:hAnsi="宋体" w:eastAsia="宋体" w:cs="宋体"/>
                <w:color w:val="000000"/>
                <w:kern w:val="0"/>
                <w:sz w:val="20"/>
                <w:szCs w:val="20"/>
                <w:lang w:val="en-US" w:eastAsia="zh-CN"/>
              </w:rPr>
              <w:t>0</w:t>
            </w:r>
          </w:p>
        </w:tc>
        <w:tc>
          <w:tcPr>
            <w:tcW w:w="127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eastAsiaTheme="minorEastAsia"/>
                <w:lang w:val="en-US" w:eastAsia="zh-CN"/>
              </w:rPr>
            </w:pPr>
            <w:r>
              <w:rPr>
                <w:rFonts w:hint="eastAsia" w:ascii="宋体" w:hAnsi="宋体" w:eastAsia="宋体" w:cs="宋体"/>
                <w:color w:val="000000"/>
                <w:kern w:val="0"/>
                <w:sz w:val="20"/>
                <w:szCs w:val="20"/>
                <w:lang w:val="en-US" w:eastAsia="zh-CN"/>
              </w:rPr>
              <w:t>0</w:t>
            </w:r>
          </w:p>
        </w:tc>
        <w:tc>
          <w:tcPr>
            <w:tcW w:w="188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eastAsia="宋体"/>
                <w:lang w:val="en-US" w:eastAsia="zh-CN"/>
              </w:rPr>
            </w:pPr>
            <w:r>
              <w:rPr>
                <w:rFonts w:hint="eastAsia" w:ascii="宋体" w:hAnsi="宋体" w:eastAsia="宋体" w:cs="宋体"/>
                <w:color w:val="000000"/>
                <w:kern w:val="0"/>
                <w:sz w:val="20"/>
                <w:szCs w:val="20"/>
                <w:lang w:val="en-US" w:eastAsia="zh-CN"/>
              </w:rPr>
              <w:t>0</w:t>
            </w:r>
          </w:p>
        </w:tc>
      </w:tr>
      <w:tr>
        <w:tblPrEx>
          <w:tblCellMar>
            <w:top w:w="0" w:type="dxa"/>
            <w:left w:w="0" w:type="dxa"/>
            <w:bottom w:w="0" w:type="dxa"/>
            <w:right w:w="0" w:type="dxa"/>
          </w:tblCellMar>
        </w:tblPrEx>
        <w:trPr>
          <w:trHeight w:val="480" w:hRule="atLeast"/>
          <w:jc w:val="center"/>
        </w:trPr>
        <w:tc>
          <w:tcPr>
            <w:tcW w:w="8140" w:type="dxa"/>
            <w:gridSpan w:val="4"/>
            <w:tcBorders>
              <w:top w:val="nil"/>
              <w:left w:val="single" w:color="auto" w:sz="8" w:space="0"/>
              <w:bottom w:val="single" w:color="auto" w:sz="8" w:space="0"/>
              <w:right w:val="single" w:color="auto" w:sz="8" w:space="0"/>
            </w:tcBorders>
            <w:shd w:val="clear" w:color="auto" w:fill="C6D9F1"/>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第二十条第（五）项</w:t>
            </w:r>
          </w:p>
        </w:tc>
      </w:tr>
      <w:tr>
        <w:tblPrEx>
          <w:tblCellMar>
            <w:top w:w="0" w:type="dxa"/>
            <w:left w:w="0" w:type="dxa"/>
            <w:bottom w:w="0" w:type="dxa"/>
            <w:right w:w="0" w:type="dxa"/>
          </w:tblCellMar>
        </w:tblPrEx>
        <w:trPr>
          <w:trHeight w:val="634" w:hRule="atLeast"/>
          <w:jc w:val="center"/>
        </w:trPr>
        <w:tc>
          <w:tcPr>
            <w:tcW w:w="311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信息内容</w:t>
            </w:r>
          </w:p>
        </w:tc>
        <w:tc>
          <w:tcPr>
            <w:tcW w:w="1869"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上一年项目数量</w:t>
            </w:r>
          </w:p>
        </w:tc>
        <w:tc>
          <w:tcPr>
            <w:tcW w:w="1277"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本年增/减</w:t>
            </w:r>
          </w:p>
        </w:tc>
        <w:tc>
          <w:tcPr>
            <w:tcW w:w="188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处理决定数量</w:t>
            </w:r>
          </w:p>
        </w:tc>
      </w:tr>
      <w:tr>
        <w:tblPrEx>
          <w:tblCellMar>
            <w:top w:w="0" w:type="dxa"/>
            <w:left w:w="0" w:type="dxa"/>
            <w:bottom w:w="0" w:type="dxa"/>
            <w:right w:w="0" w:type="dxa"/>
          </w:tblCellMar>
        </w:tblPrEx>
        <w:trPr>
          <w:trHeight w:val="528" w:hRule="atLeast"/>
          <w:jc w:val="center"/>
        </w:trPr>
        <w:tc>
          <w:tcPr>
            <w:tcW w:w="311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jc w:val="left"/>
            </w:pPr>
            <w:r>
              <w:rPr>
                <w:rFonts w:hint="eastAsia" w:ascii="宋体" w:hAnsi="宋体" w:eastAsia="宋体" w:cs="宋体"/>
                <w:color w:val="000000"/>
                <w:kern w:val="0"/>
                <w:sz w:val="20"/>
                <w:szCs w:val="20"/>
              </w:rPr>
              <w:t>行政许可</w:t>
            </w:r>
          </w:p>
        </w:tc>
        <w:tc>
          <w:tcPr>
            <w:tcW w:w="186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0</w:t>
            </w:r>
          </w:p>
        </w:tc>
        <w:tc>
          <w:tcPr>
            <w:tcW w:w="127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0</w:t>
            </w:r>
          </w:p>
        </w:tc>
        <w:tc>
          <w:tcPr>
            <w:tcW w:w="188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0</w:t>
            </w:r>
          </w:p>
        </w:tc>
      </w:tr>
      <w:tr>
        <w:tblPrEx>
          <w:tblCellMar>
            <w:top w:w="0" w:type="dxa"/>
            <w:left w:w="0" w:type="dxa"/>
            <w:bottom w:w="0" w:type="dxa"/>
            <w:right w:w="0" w:type="dxa"/>
          </w:tblCellMar>
        </w:tblPrEx>
        <w:trPr>
          <w:trHeight w:val="550" w:hRule="atLeast"/>
          <w:jc w:val="center"/>
        </w:trPr>
        <w:tc>
          <w:tcPr>
            <w:tcW w:w="311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jc w:val="left"/>
            </w:pPr>
            <w:r>
              <w:rPr>
                <w:rFonts w:hint="eastAsia" w:ascii="宋体" w:hAnsi="宋体" w:eastAsia="宋体" w:cs="宋体"/>
                <w:color w:val="000000"/>
                <w:kern w:val="0"/>
                <w:sz w:val="20"/>
                <w:szCs w:val="20"/>
              </w:rPr>
              <w:t>其他对外管理服务事项</w:t>
            </w:r>
          </w:p>
        </w:tc>
        <w:tc>
          <w:tcPr>
            <w:tcW w:w="186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0</w:t>
            </w:r>
          </w:p>
        </w:tc>
        <w:tc>
          <w:tcPr>
            <w:tcW w:w="127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0</w:t>
            </w:r>
          </w:p>
        </w:tc>
        <w:tc>
          <w:tcPr>
            <w:tcW w:w="188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0</w:t>
            </w:r>
          </w:p>
        </w:tc>
      </w:tr>
      <w:tr>
        <w:tblPrEx>
          <w:tblCellMar>
            <w:top w:w="0" w:type="dxa"/>
            <w:left w:w="0" w:type="dxa"/>
            <w:bottom w:w="0" w:type="dxa"/>
            <w:right w:w="0" w:type="dxa"/>
          </w:tblCellMar>
        </w:tblPrEx>
        <w:trPr>
          <w:trHeight w:val="406" w:hRule="atLeast"/>
          <w:jc w:val="center"/>
        </w:trPr>
        <w:tc>
          <w:tcPr>
            <w:tcW w:w="8140" w:type="dxa"/>
            <w:gridSpan w:val="4"/>
            <w:tcBorders>
              <w:top w:val="nil"/>
              <w:left w:val="single" w:color="auto" w:sz="8" w:space="0"/>
              <w:bottom w:val="single" w:color="auto" w:sz="8" w:space="0"/>
              <w:right w:val="single" w:color="auto" w:sz="8" w:space="0"/>
            </w:tcBorders>
            <w:shd w:val="clear" w:color="auto" w:fill="C6D9F1"/>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第二十条第（六）项</w:t>
            </w:r>
          </w:p>
        </w:tc>
      </w:tr>
      <w:tr>
        <w:tblPrEx>
          <w:tblCellMar>
            <w:top w:w="0" w:type="dxa"/>
            <w:left w:w="0" w:type="dxa"/>
            <w:bottom w:w="0" w:type="dxa"/>
            <w:right w:w="0" w:type="dxa"/>
          </w:tblCellMar>
        </w:tblPrEx>
        <w:trPr>
          <w:trHeight w:val="634" w:hRule="atLeast"/>
          <w:jc w:val="center"/>
        </w:trPr>
        <w:tc>
          <w:tcPr>
            <w:tcW w:w="311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信息内容</w:t>
            </w:r>
          </w:p>
        </w:tc>
        <w:tc>
          <w:tcPr>
            <w:tcW w:w="1869"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上一年项目数量</w:t>
            </w:r>
          </w:p>
        </w:tc>
        <w:tc>
          <w:tcPr>
            <w:tcW w:w="1277"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本年增/减</w:t>
            </w:r>
          </w:p>
        </w:tc>
        <w:tc>
          <w:tcPr>
            <w:tcW w:w="188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处理决定数量</w:t>
            </w:r>
          </w:p>
        </w:tc>
      </w:tr>
      <w:tr>
        <w:tblPrEx>
          <w:tblCellMar>
            <w:top w:w="0" w:type="dxa"/>
            <w:left w:w="0" w:type="dxa"/>
            <w:bottom w:w="0" w:type="dxa"/>
            <w:right w:w="0" w:type="dxa"/>
          </w:tblCellMar>
        </w:tblPrEx>
        <w:trPr>
          <w:trHeight w:val="430" w:hRule="atLeast"/>
          <w:jc w:val="center"/>
        </w:trPr>
        <w:tc>
          <w:tcPr>
            <w:tcW w:w="311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jc w:val="left"/>
            </w:pPr>
            <w:r>
              <w:rPr>
                <w:rFonts w:hint="eastAsia" w:ascii="宋体" w:hAnsi="宋体" w:eastAsia="宋体" w:cs="宋体"/>
                <w:color w:val="000000"/>
                <w:kern w:val="0"/>
                <w:sz w:val="20"/>
                <w:szCs w:val="20"/>
              </w:rPr>
              <w:t>行政处罚</w:t>
            </w:r>
          </w:p>
        </w:tc>
        <w:tc>
          <w:tcPr>
            <w:tcW w:w="186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127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188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r>
      <w:tr>
        <w:tblPrEx>
          <w:tblCellMar>
            <w:top w:w="0" w:type="dxa"/>
            <w:left w:w="0" w:type="dxa"/>
            <w:bottom w:w="0" w:type="dxa"/>
            <w:right w:w="0" w:type="dxa"/>
          </w:tblCellMar>
        </w:tblPrEx>
        <w:trPr>
          <w:trHeight w:val="409" w:hRule="atLeast"/>
          <w:jc w:val="center"/>
        </w:trPr>
        <w:tc>
          <w:tcPr>
            <w:tcW w:w="311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jc w:val="left"/>
            </w:pPr>
            <w:r>
              <w:rPr>
                <w:rFonts w:hint="eastAsia" w:ascii="宋体" w:hAnsi="宋体" w:eastAsia="宋体" w:cs="宋体"/>
                <w:color w:val="000000"/>
                <w:kern w:val="0"/>
                <w:sz w:val="20"/>
                <w:szCs w:val="20"/>
              </w:rPr>
              <w:t>行政强制</w:t>
            </w:r>
          </w:p>
        </w:tc>
        <w:tc>
          <w:tcPr>
            <w:tcW w:w="186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127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188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r>
      <w:tr>
        <w:tblPrEx>
          <w:tblCellMar>
            <w:top w:w="0" w:type="dxa"/>
            <w:left w:w="0" w:type="dxa"/>
            <w:bottom w:w="0" w:type="dxa"/>
            <w:right w:w="0" w:type="dxa"/>
          </w:tblCellMar>
        </w:tblPrEx>
        <w:trPr>
          <w:trHeight w:val="474" w:hRule="atLeast"/>
          <w:jc w:val="center"/>
        </w:trPr>
        <w:tc>
          <w:tcPr>
            <w:tcW w:w="8140" w:type="dxa"/>
            <w:gridSpan w:val="4"/>
            <w:tcBorders>
              <w:top w:val="nil"/>
              <w:left w:val="single" w:color="auto" w:sz="8" w:space="0"/>
              <w:bottom w:val="single" w:color="auto" w:sz="8" w:space="0"/>
              <w:right w:val="single" w:color="auto" w:sz="8" w:space="0"/>
            </w:tcBorders>
            <w:shd w:val="clear" w:color="auto" w:fill="C6D9F1"/>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第二十条第（八）项</w:t>
            </w:r>
          </w:p>
        </w:tc>
      </w:tr>
      <w:tr>
        <w:tblPrEx>
          <w:tblCellMar>
            <w:top w:w="0" w:type="dxa"/>
            <w:left w:w="0" w:type="dxa"/>
            <w:bottom w:w="0" w:type="dxa"/>
            <w:right w:w="0" w:type="dxa"/>
          </w:tblCellMar>
        </w:tblPrEx>
        <w:trPr>
          <w:trHeight w:val="270" w:hRule="atLeast"/>
          <w:jc w:val="center"/>
        </w:trPr>
        <w:tc>
          <w:tcPr>
            <w:tcW w:w="311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信息内容</w:t>
            </w:r>
          </w:p>
        </w:tc>
        <w:tc>
          <w:tcPr>
            <w:tcW w:w="186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left"/>
            </w:pPr>
            <w:r>
              <w:rPr>
                <w:rFonts w:hint="eastAsia" w:ascii="宋体" w:hAnsi="宋体" w:eastAsia="宋体" w:cs="宋体"/>
                <w:color w:val="000000"/>
                <w:kern w:val="0"/>
                <w:sz w:val="20"/>
                <w:szCs w:val="20"/>
              </w:rPr>
              <w:t>上一年项目数量</w:t>
            </w:r>
          </w:p>
        </w:tc>
        <w:tc>
          <w:tcPr>
            <w:tcW w:w="3158" w:type="dxa"/>
            <w:gridSpan w:val="2"/>
            <w:tcBorders>
              <w:top w:val="single" w:color="auto" w:sz="8" w:space="0"/>
              <w:left w:val="nil"/>
              <w:bottom w:val="single" w:color="auto" w:sz="8" w:space="0"/>
              <w:right w:val="single" w:color="000000"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本年增/减</w:t>
            </w:r>
          </w:p>
        </w:tc>
      </w:tr>
      <w:tr>
        <w:tblPrEx>
          <w:tblCellMar>
            <w:top w:w="0" w:type="dxa"/>
            <w:left w:w="0" w:type="dxa"/>
            <w:bottom w:w="0" w:type="dxa"/>
            <w:right w:w="0" w:type="dxa"/>
          </w:tblCellMar>
        </w:tblPrEx>
        <w:trPr>
          <w:trHeight w:val="551" w:hRule="atLeast"/>
          <w:jc w:val="center"/>
        </w:trPr>
        <w:tc>
          <w:tcPr>
            <w:tcW w:w="311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jc w:val="left"/>
            </w:pPr>
            <w:r>
              <w:rPr>
                <w:rFonts w:hint="eastAsia" w:ascii="宋体" w:hAnsi="宋体" w:eastAsia="宋体" w:cs="宋体"/>
                <w:color w:val="000000"/>
                <w:kern w:val="0"/>
                <w:sz w:val="20"/>
                <w:szCs w:val="20"/>
              </w:rPr>
              <w:t>行政事业性收费</w:t>
            </w:r>
          </w:p>
        </w:tc>
        <w:tc>
          <w:tcPr>
            <w:tcW w:w="186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3158" w:type="dxa"/>
            <w:gridSpan w:val="2"/>
            <w:tcBorders>
              <w:top w:val="nil"/>
              <w:left w:val="nil"/>
              <w:bottom w:val="single" w:color="auto" w:sz="8" w:space="0"/>
              <w:right w:val="single" w:color="000000"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r>
      <w:tr>
        <w:tblPrEx>
          <w:tblCellMar>
            <w:top w:w="0" w:type="dxa"/>
            <w:left w:w="0" w:type="dxa"/>
            <w:bottom w:w="0" w:type="dxa"/>
            <w:right w:w="0" w:type="dxa"/>
          </w:tblCellMar>
        </w:tblPrEx>
        <w:trPr>
          <w:trHeight w:val="476" w:hRule="atLeast"/>
          <w:jc w:val="center"/>
        </w:trPr>
        <w:tc>
          <w:tcPr>
            <w:tcW w:w="8140" w:type="dxa"/>
            <w:gridSpan w:val="4"/>
            <w:tcBorders>
              <w:top w:val="nil"/>
              <w:left w:val="single" w:color="auto" w:sz="8" w:space="0"/>
              <w:bottom w:val="single" w:color="auto" w:sz="8" w:space="0"/>
              <w:right w:val="single" w:color="auto" w:sz="8" w:space="0"/>
            </w:tcBorders>
            <w:shd w:val="clear" w:color="auto" w:fill="C6D9F1"/>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第二十条第（九）项</w:t>
            </w:r>
          </w:p>
        </w:tc>
      </w:tr>
      <w:tr>
        <w:tblPrEx>
          <w:tblCellMar>
            <w:top w:w="0" w:type="dxa"/>
            <w:left w:w="0" w:type="dxa"/>
            <w:bottom w:w="0" w:type="dxa"/>
            <w:right w:w="0" w:type="dxa"/>
          </w:tblCellMar>
        </w:tblPrEx>
        <w:trPr>
          <w:trHeight w:val="585" w:hRule="atLeast"/>
          <w:jc w:val="center"/>
        </w:trPr>
        <w:tc>
          <w:tcPr>
            <w:tcW w:w="311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信息内容</w:t>
            </w:r>
          </w:p>
        </w:tc>
        <w:tc>
          <w:tcPr>
            <w:tcW w:w="186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采购项目数量</w:t>
            </w:r>
          </w:p>
        </w:tc>
        <w:tc>
          <w:tcPr>
            <w:tcW w:w="3158" w:type="dxa"/>
            <w:gridSpan w:val="2"/>
            <w:tcBorders>
              <w:top w:val="single" w:color="auto" w:sz="8" w:space="0"/>
              <w:left w:val="nil"/>
              <w:bottom w:val="single" w:color="auto" w:sz="8" w:space="0"/>
              <w:right w:val="single" w:color="000000"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采购总金额</w:t>
            </w:r>
          </w:p>
        </w:tc>
      </w:tr>
      <w:tr>
        <w:tblPrEx>
          <w:tblCellMar>
            <w:top w:w="0" w:type="dxa"/>
            <w:left w:w="0" w:type="dxa"/>
            <w:bottom w:w="0" w:type="dxa"/>
            <w:right w:w="0" w:type="dxa"/>
          </w:tblCellMar>
        </w:tblPrEx>
        <w:trPr>
          <w:trHeight w:val="539" w:hRule="atLeast"/>
          <w:jc w:val="center"/>
        </w:trPr>
        <w:tc>
          <w:tcPr>
            <w:tcW w:w="311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jc w:val="left"/>
            </w:pPr>
            <w:r>
              <w:rPr>
                <w:rFonts w:hint="eastAsia" w:ascii="宋体" w:hAnsi="宋体" w:eastAsia="宋体" w:cs="宋体"/>
                <w:color w:val="000000"/>
                <w:kern w:val="0"/>
                <w:sz w:val="20"/>
                <w:szCs w:val="20"/>
              </w:rPr>
              <w:t>政府集中采购</w:t>
            </w:r>
          </w:p>
        </w:tc>
        <w:tc>
          <w:tcPr>
            <w:tcW w:w="186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3158" w:type="dxa"/>
            <w:gridSpan w:val="2"/>
            <w:tcBorders>
              <w:top w:val="nil"/>
              <w:left w:val="nil"/>
              <w:bottom w:val="single" w:color="auto" w:sz="8" w:space="0"/>
              <w:right w:val="single" w:color="000000" w:sz="8" w:space="0"/>
            </w:tcBorders>
            <w:shd w:val="clear" w:color="auto" w:fill="auto"/>
            <w:tcMar>
              <w:left w:w="108" w:type="dxa"/>
              <w:right w:w="108" w:type="dxa"/>
            </w:tcMar>
            <w:vAlign w:val="center"/>
          </w:tcPr>
          <w:p>
            <w:pPr>
              <w:jc w:val="center"/>
              <w:rPr>
                <w:rFonts w:ascii="宋体"/>
                <w:sz w:val="24"/>
              </w:rPr>
            </w:pPr>
            <w:r>
              <w:rPr>
                <w:rFonts w:hint="eastAsia" w:ascii="宋体" w:hAnsi="宋体" w:eastAsia="宋体" w:cs="宋体"/>
                <w:color w:val="000000"/>
                <w:kern w:val="0"/>
                <w:sz w:val="20"/>
                <w:szCs w:val="20"/>
                <w:lang w:val="en-US" w:eastAsia="zh-CN"/>
              </w:rPr>
              <w:t>0</w:t>
            </w:r>
          </w:p>
        </w:tc>
      </w:tr>
    </w:tbl>
    <w:p>
      <w:pPr>
        <w:pStyle w:val="2"/>
        <w:widowControl/>
        <w:shd w:val="clear" w:color="auto" w:fill="FFFFFF"/>
        <w:spacing w:beforeAutospacing="0" w:after="240" w:afterAutospacing="0"/>
        <w:ind w:firstLine="420"/>
        <w:jc w:val="both"/>
        <w:rPr>
          <w:rFonts w:hint="eastAsia" w:ascii="宋体" w:hAnsi="宋体" w:eastAsia="宋体" w:cs="宋体"/>
          <w:b/>
          <w:color w:val="333333"/>
          <w:shd w:val="clear" w:color="auto" w:fill="FFFFFF"/>
        </w:rPr>
      </w:pPr>
    </w:p>
    <w:p>
      <w:pPr>
        <w:pStyle w:val="2"/>
        <w:widowControl/>
        <w:shd w:val="clear" w:color="auto" w:fill="FFFFFF"/>
        <w:spacing w:beforeAutospacing="0" w:after="240" w:afterAutospacing="0"/>
        <w:ind w:firstLine="420"/>
        <w:jc w:val="both"/>
        <w:rPr>
          <w:rFonts w:ascii="宋体" w:hAnsi="宋体" w:eastAsia="宋体" w:cs="宋体"/>
          <w:color w:val="333333"/>
        </w:rPr>
      </w:pPr>
      <w:r>
        <w:rPr>
          <w:rFonts w:hint="eastAsia" w:ascii="宋体" w:hAnsi="宋体" w:eastAsia="宋体" w:cs="宋体"/>
          <w:b/>
          <w:color w:val="333333"/>
          <w:shd w:val="clear" w:color="auto" w:fill="FFFFFF"/>
        </w:rPr>
        <w:t>三、收到和处理政府信息公开申请情况</w:t>
      </w:r>
    </w:p>
    <w:tbl>
      <w:tblPr>
        <w:tblStyle w:val="3"/>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8"/>
        <w:gridCol w:w="854"/>
        <w:gridCol w:w="2086"/>
        <w:gridCol w:w="814"/>
        <w:gridCol w:w="755"/>
        <w:gridCol w:w="755"/>
        <w:gridCol w:w="814"/>
        <w:gridCol w:w="974"/>
        <w:gridCol w:w="712"/>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58" w:type="dxa"/>
            <w:gridSpan w:val="3"/>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kern w:val="0"/>
                <w:sz w:val="20"/>
                <w:szCs w:val="20"/>
              </w:rPr>
              <w:t>（本列数据的勾稽关系为：第一项加第二项之和，等于第三项加第四项之和）</w:t>
            </w:r>
          </w:p>
        </w:tc>
        <w:tc>
          <w:tcPr>
            <w:tcW w:w="5513" w:type="dxa"/>
            <w:gridSpan w:val="7"/>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kern w:val="0"/>
                <w:sz w:val="20"/>
                <w:szCs w:val="20"/>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58"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sz w:val="24"/>
              </w:rPr>
            </w:pPr>
          </w:p>
        </w:tc>
        <w:tc>
          <w:tcPr>
            <w:tcW w:w="81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kern w:val="0"/>
                <w:sz w:val="20"/>
                <w:szCs w:val="20"/>
              </w:rPr>
              <w:t>自然人</w:t>
            </w:r>
          </w:p>
        </w:tc>
        <w:tc>
          <w:tcPr>
            <w:tcW w:w="401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kern w:val="0"/>
                <w:sz w:val="20"/>
                <w:szCs w:val="20"/>
              </w:rPr>
              <w:t>法人或其他组织</w:t>
            </w:r>
          </w:p>
        </w:tc>
        <w:tc>
          <w:tcPr>
            <w:tcW w:w="689"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58"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sz w:val="24"/>
              </w:rPr>
            </w:pPr>
          </w:p>
        </w:tc>
        <w:tc>
          <w:tcPr>
            <w:tcW w:w="81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宋体"/>
                <w:sz w:val="24"/>
              </w:rPr>
            </w:pP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kern w:val="0"/>
                <w:sz w:val="20"/>
                <w:szCs w:val="20"/>
              </w:rPr>
              <w:t>商业企业</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kern w:val="0"/>
                <w:sz w:val="20"/>
                <w:szCs w:val="20"/>
              </w:rPr>
              <w:t>科研机构</w:t>
            </w:r>
          </w:p>
        </w:tc>
        <w:tc>
          <w:tcPr>
            <w:tcW w:w="81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kern w:val="0"/>
                <w:sz w:val="20"/>
                <w:szCs w:val="20"/>
              </w:rPr>
              <w:t>社会公益组织</w:t>
            </w:r>
          </w:p>
        </w:tc>
        <w:tc>
          <w:tcPr>
            <w:tcW w:w="97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kern w:val="0"/>
                <w:sz w:val="20"/>
                <w:szCs w:val="20"/>
              </w:rPr>
              <w:t>法律服务机构</w:t>
            </w:r>
          </w:p>
        </w:tc>
        <w:tc>
          <w:tcPr>
            <w:tcW w:w="712"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kern w:val="0"/>
                <w:sz w:val="20"/>
                <w:szCs w:val="20"/>
              </w:rPr>
              <w:t>其他</w:t>
            </w:r>
          </w:p>
        </w:tc>
        <w:tc>
          <w:tcPr>
            <w:tcW w:w="689"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宋体"/>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58"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jc w:val="left"/>
            </w:pPr>
            <w:r>
              <w:rPr>
                <w:rFonts w:hint="eastAsia" w:ascii="宋体" w:hAnsi="宋体" w:eastAsia="宋体" w:cs="宋体"/>
                <w:kern w:val="0"/>
                <w:sz w:val="20"/>
                <w:szCs w:val="20"/>
              </w:rPr>
              <w:t>一、本年新收政府信息公开申请数量</w:t>
            </w:r>
          </w:p>
        </w:tc>
        <w:tc>
          <w:tcPr>
            <w:tcW w:w="81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81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97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712"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68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58"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jc w:val="left"/>
            </w:pPr>
            <w:r>
              <w:rPr>
                <w:rFonts w:hint="eastAsia" w:ascii="宋体" w:hAnsi="宋体" w:eastAsia="宋体" w:cs="宋体"/>
                <w:kern w:val="0"/>
                <w:sz w:val="20"/>
                <w:szCs w:val="20"/>
              </w:rPr>
              <w:t>二、上年结转政府信息公开申请数量</w:t>
            </w:r>
          </w:p>
        </w:tc>
        <w:tc>
          <w:tcPr>
            <w:tcW w:w="81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81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97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712"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68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8"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kern w:val="0"/>
                <w:sz w:val="20"/>
                <w:szCs w:val="20"/>
              </w:rPr>
              <w:t>三、本年度办理结果</w:t>
            </w:r>
          </w:p>
        </w:tc>
        <w:tc>
          <w:tcPr>
            <w:tcW w:w="294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left"/>
            </w:pPr>
            <w:r>
              <w:rPr>
                <w:rFonts w:ascii="楷体" w:hAnsi="楷体" w:eastAsia="楷体" w:cs="楷体"/>
                <w:kern w:val="0"/>
                <w:sz w:val="20"/>
                <w:szCs w:val="20"/>
              </w:rPr>
              <w:t>（一）予以公开</w:t>
            </w:r>
          </w:p>
        </w:tc>
        <w:tc>
          <w:tcPr>
            <w:tcW w:w="81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81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97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712"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689"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8"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sz w:val="24"/>
              </w:rPr>
            </w:pPr>
          </w:p>
        </w:tc>
        <w:tc>
          <w:tcPr>
            <w:tcW w:w="294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left"/>
            </w:pPr>
            <w:r>
              <w:rPr>
                <w:rFonts w:hint="eastAsia" w:ascii="楷体" w:hAnsi="楷体" w:eastAsia="楷体" w:cs="楷体"/>
                <w:kern w:val="0"/>
                <w:sz w:val="20"/>
                <w:szCs w:val="20"/>
              </w:rPr>
              <w:t>（二）部分公开（区分处理的，只计这一情形，不计其他情形）</w:t>
            </w:r>
          </w:p>
        </w:tc>
        <w:tc>
          <w:tcPr>
            <w:tcW w:w="81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81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97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712"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68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8"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sz w:val="24"/>
              </w:rPr>
            </w:pPr>
          </w:p>
        </w:tc>
        <w:tc>
          <w:tcPr>
            <w:tcW w:w="85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left"/>
              <w:rPr>
                <w:rFonts w:hint="eastAsia" w:ascii="宋体" w:hAnsi="宋体" w:eastAsia="宋体" w:cs="宋体"/>
                <w:color w:val="000000"/>
                <w:kern w:val="0"/>
                <w:sz w:val="20"/>
                <w:szCs w:val="20"/>
                <w:lang w:val="en-US" w:eastAsia="zh-CN"/>
              </w:rPr>
            </w:pPr>
            <w:r>
              <w:rPr>
                <w:rFonts w:hint="eastAsia" w:ascii="楷体" w:hAnsi="楷体" w:eastAsia="楷体" w:cs="楷体"/>
                <w:kern w:val="0"/>
                <w:sz w:val="20"/>
                <w:szCs w:val="20"/>
              </w:rPr>
              <w:t>（三）不予公开</w:t>
            </w:r>
          </w:p>
        </w:tc>
        <w:tc>
          <w:tcPr>
            <w:tcW w:w="208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left"/>
            </w:pPr>
            <w:r>
              <w:rPr>
                <w:rFonts w:hint="eastAsia" w:ascii="楷体" w:hAnsi="楷体" w:eastAsia="楷体" w:cs="楷体"/>
                <w:kern w:val="0"/>
                <w:sz w:val="20"/>
                <w:szCs w:val="20"/>
              </w:rPr>
              <w:t>1.属于国家秘密</w:t>
            </w:r>
          </w:p>
        </w:tc>
        <w:tc>
          <w:tcPr>
            <w:tcW w:w="81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81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97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712"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689"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8"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sz w:val="24"/>
              </w:rPr>
            </w:pPr>
          </w:p>
        </w:tc>
        <w:tc>
          <w:tcPr>
            <w:tcW w:w="85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宋体"/>
                <w:sz w:val="24"/>
              </w:rPr>
            </w:pPr>
          </w:p>
        </w:tc>
        <w:tc>
          <w:tcPr>
            <w:tcW w:w="208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left"/>
            </w:pPr>
            <w:r>
              <w:rPr>
                <w:rFonts w:hint="eastAsia" w:ascii="楷体" w:hAnsi="楷体" w:eastAsia="楷体" w:cs="楷体"/>
                <w:kern w:val="0"/>
                <w:sz w:val="20"/>
                <w:szCs w:val="20"/>
              </w:rPr>
              <w:t>2.其他法律行政法规禁止公开</w:t>
            </w:r>
          </w:p>
        </w:tc>
        <w:tc>
          <w:tcPr>
            <w:tcW w:w="81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81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97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712"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68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8"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sz w:val="24"/>
              </w:rPr>
            </w:pPr>
          </w:p>
        </w:tc>
        <w:tc>
          <w:tcPr>
            <w:tcW w:w="85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宋体"/>
                <w:sz w:val="24"/>
              </w:rPr>
            </w:pPr>
          </w:p>
        </w:tc>
        <w:tc>
          <w:tcPr>
            <w:tcW w:w="208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left"/>
            </w:pPr>
            <w:r>
              <w:rPr>
                <w:rFonts w:hint="eastAsia" w:ascii="楷体" w:hAnsi="楷体" w:eastAsia="楷体" w:cs="楷体"/>
                <w:kern w:val="0"/>
                <w:sz w:val="20"/>
                <w:szCs w:val="20"/>
              </w:rPr>
              <w:t>3.危及“三安全一稳定”</w:t>
            </w:r>
          </w:p>
        </w:tc>
        <w:tc>
          <w:tcPr>
            <w:tcW w:w="81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81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97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712"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68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8"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sz w:val="24"/>
              </w:rPr>
            </w:pPr>
          </w:p>
        </w:tc>
        <w:tc>
          <w:tcPr>
            <w:tcW w:w="85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宋体"/>
                <w:sz w:val="24"/>
              </w:rPr>
            </w:pPr>
          </w:p>
        </w:tc>
        <w:tc>
          <w:tcPr>
            <w:tcW w:w="208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left"/>
            </w:pPr>
            <w:r>
              <w:rPr>
                <w:rFonts w:hint="eastAsia" w:ascii="楷体" w:hAnsi="楷体" w:eastAsia="楷体" w:cs="楷体"/>
                <w:kern w:val="0"/>
                <w:sz w:val="20"/>
                <w:szCs w:val="20"/>
              </w:rPr>
              <w:t>4.保护第三方合法权益</w:t>
            </w:r>
          </w:p>
        </w:tc>
        <w:tc>
          <w:tcPr>
            <w:tcW w:w="81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81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97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712"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68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8"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sz w:val="24"/>
              </w:rPr>
            </w:pPr>
          </w:p>
        </w:tc>
        <w:tc>
          <w:tcPr>
            <w:tcW w:w="85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宋体"/>
                <w:sz w:val="24"/>
              </w:rPr>
            </w:pPr>
          </w:p>
        </w:tc>
        <w:tc>
          <w:tcPr>
            <w:tcW w:w="208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left"/>
            </w:pPr>
            <w:r>
              <w:rPr>
                <w:rFonts w:hint="eastAsia" w:ascii="楷体" w:hAnsi="楷体" w:eastAsia="楷体" w:cs="楷体"/>
                <w:kern w:val="0"/>
                <w:sz w:val="20"/>
                <w:szCs w:val="20"/>
              </w:rPr>
              <w:t>5.属于三类内部事务信息</w:t>
            </w:r>
          </w:p>
        </w:tc>
        <w:tc>
          <w:tcPr>
            <w:tcW w:w="81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81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97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712"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68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8"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sz w:val="24"/>
              </w:rPr>
            </w:pPr>
          </w:p>
        </w:tc>
        <w:tc>
          <w:tcPr>
            <w:tcW w:w="85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宋体"/>
                <w:sz w:val="24"/>
              </w:rPr>
            </w:pPr>
          </w:p>
        </w:tc>
        <w:tc>
          <w:tcPr>
            <w:tcW w:w="208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left"/>
            </w:pPr>
            <w:r>
              <w:rPr>
                <w:rFonts w:hint="eastAsia" w:ascii="楷体" w:hAnsi="楷体" w:eastAsia="楷体" w:cs="楷体"/>
                <w:kern w:val="0"/>
                <w:sz w:val="20"/>
                <w:szCs w:val="20"/>
              </w:rPr>
              <w:t>6.属于四类过程性信息</w:t>
            </w:r>
          </w:p>
        </w:tc>
        <w:tc>
          <w:tcPr>
            <w:tcW w:w="81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81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97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712"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68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8"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sz w:val="24"/>
              </w:rPr>
            </w:pPr>
          </w:p>
        </w:tc>
        <w:tc>
          <w:tcPr>
            <w:tcW w:w="85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宋体"/>
                <w:sz w:val="24"/>
              </w:rPr>
            </w:pPr>
          </w:p>
        </w:tc>
        <w:tc>
          <w:tcPr>
            <w:tcW w:w="208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left"/>
            </w:pPr>
            <w:r>
              <w:rPr>
                <w:rFonts w:hint="eastAsia" w:ascii="楷体" w:hAnsi="楷体" w:eastAsia="楷体" w:cs="楷体"/>
                <w:kern w:val="0"/>
                <w:sz w:val="20"/>
                <w:szCs w:val="20"/>
              </w:rPr>
              <w:t>7.属于行政执法案卷</w:t>
            </w:r>
          </w:p>
        </w:tc>
        <w:tc>
          <w:tcPr>
            <w:tcW w:w="81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81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97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712"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68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8"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sz w:val="24"/>
              </w:rPr>
            </w:pPr>
          </w:p>
        </w:tc>
        <w:tc>
          <w:tcPr>
            <w:tcW w:w="85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宋体"/>
                <w:sz w:val="24"/>
              </w:rPr>
            </w:pPr>
          </w:p>
        </w:tc>
        <w:tc>
          <w:tcPr>
            <w:tcW w:w="208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left"/>
            </w:pPr>
            <w:r>
              <w:rPr>
                <w:rFonts w:hint="eastAsia" w:ascii="楷体" w:hAnsi="楷体" w:eastAsia="楷体" w:cs="楷体"/>
                <w:kern w:val="0"/>
                <w:sz w:val="20"/>
                <w:szCs w:val="20"/>
              </w:rPr>
              <w:t>8.属于行政查询事项</w:t>
            </w:r>
          </w:p>
        </w:tc>
        <w:tc>
          <w:tcPr>
            <w:tcW w:w="81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81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97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712"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68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8"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sz w:val="24"/>
              </w:rPr>
            </w:pPr>
          </w:p>
        </w:tc>
        <w:tc>
          <w:tcPr>
            <w:tcW w:w="85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left"/>
              <w:rPr>
                <w:rFonts w:hint="eastAsia" w:ascii="宋体" w:hAnsi="宋体" w:eastAsia="宋体" w:cs="宋体"/>
                <w:color w:val="000000"/>
                <w:kern w:val="0"/>
                <w:sz w:val="20"/>
                <w:szCs w:val="20"/>
                <w:lang w:val="en-US" w:eastAsia="zh-CN"/>
              </w:rPr>
            </w:pPr>
            <w:r>
              <w:rPr>
                <w:rFonts w:hint="eastAsia" w:ascii="楷体" w:hAnsi="楷体" w:eastAsia="楷体" w:cs="楷体"/>
                <w:kern w:val="0"/>
                <w:sz w:val="20"/>
                <w:szCs w:val="20"/>
              </w:rPr>
              <w:t>（四）无法提供</w:t>
            </w:r>
          </w:p>
        </w:tc>
        <w:tc>
          <w:tcPr>
            <w:tcW w:w="208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left"/>
            </w:pPr>
            <w:r>
              <w:rPr>
                <w:rFonts w:hint="eastAsia" w:ascii="楷体" w:hAnsi="楷体" w:eastAsia="楷体" w:cs="楷体"/>
                <w:kern w:val="0"/>
                <w:sz w:val="20"/>
                <w:szCs w:val="20"/>
              </w:rPr>
              <w:t>1.本机关不掌握相关政府信息</w:t>
            </w:r>
          </w:p>
        </w:tc>
        <w:tc>
          <w:tcPr>
            <w:tcW w:w="81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81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97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712"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68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8"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sz w:val="24"/>
              </w:rPr>
            </w:pPr>
          </w:p>
        </w:tc>
        <w:tc>
          <w:tcPr>
            <w:tcW w:w="85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宋体"/>
                <w:sz w:val="24"/>
              </w:rPr>
            </w:pPr>
          </w:p>
        </w:tc>
        <w:tc>
          <w:tcPr>
            <w:tcW w:w="208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left"/>
            </w:pPr>
            <w:r>
              <w:rPr>
                <w:rFonts w:hint="eastAsia" w:ascii="楷体" w:hAnsi="楷体" w:eastAsia="楷体" w:cs="楷体"/>
                <w:kern w:val="0"/>
                <w:sz w:val="20"/>
                <w:szCs w:val="20"/>
              </w:rPr>
              <w:t>2.没有现成信息需要另行制作</w:t>
            </w:r>
          </w:p>
        </w:tc>
        <w:tc>
          <w:tcPr>
            <w:tcW w:w="81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81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97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712"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68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8"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sz w:val="24"/>
              </w:rPr>
            </w:pPr>
          </w:p>
        </w:tc>
        <w:tc>
          <w:tcPr>
            <w:tcW w:w="85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宋体"/>
                <w:sz w:val="24"/>
              </w:rPr>
            </w:pPr>
          </w:p>
        </w:tc>
        <w:tc>
          <w:tcPr>
            <w:tcW w:w="208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left"/>
            </w:pPr>
            <w:r>
              <w:rPr>
                <w:rFonts w:hint="eastAsia" w:ascii="楷体" w:hAnsi="楷体" w:eastAsia="楷体" w:cs="楷体"/>
                <w:kern w:val="0"/>
                <w:sz w:val="20"/>
                <w:szCs w:val="20"/>
              </w:rPr>
              <w:t>3.补正后申请内容仍不明确</w:t>
            </w:r>
          </w:p>
        </w:tc>
        <w:tc>
          <w:tcPr>
            <w:tcW w:w="81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81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97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712"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68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8"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sz w:val="24"/>
              </w:rPr>
            </w:pPr>
          </w:p>
        </w:tc>
        <w:tc>
          <w:tcPr>
            <w:tcW w:w="85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left"/>
              <w:rPr>
                <w:rFonts w:hint="eastAsia" w:ascii="宋体" w:hAnsi="宋体" w:eastAsia="宋体" w:cs="宋体"/>
                <w:color w:val="000000"/>
                <w:kern w:val="0"/>
                <w:sz w:val="20"/>
                <w:szCs w:val="20"/>
                <w:lang w:val="en-US" w:eastAsia="zh-CN"/>
              </w:rPr>
            </w:pPr>
            <w:r>
              <w:rPr>
                <w:rFonts w:hint="eastAsia" w:ascii="楷体" w:hAnsi="楷体" w:eastAsia="楷体" w:cs="楷体"/>
                <w:kern w:val="0"/>
                <w:sz w:val="20"/>
                <w:szCs w:val="20"/>
              </w:rPr>
              <w:t>（五）不予处理</w:t>
            </w:r>
          </w:p>
        </w:tc>
        <w:tc>
          <w:tcPr>
            <w:tcW w:w="208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left"/>
            </w:pPr>
            <w:r>
              <w:rPr>
                <w:rFonts w:hint="eastAsia" w:ascii="楷体" w:hAnsi="楷体" w:eastAsia="楷体" w:cs="楷体"/>
                <w:kern w:val="0"/>
                <w:sz w:val="20"/>
                <w:szCs w:val="20"/>
              </w:rPr>
              <w:t>1.信访举报投诉类申请</w:t>
            </w:r>
          </w:p>
        </w:tc>
        <w:tc>
          <w:tcPr>
            <w:tcW w:w="81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81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97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712"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68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8"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sz w:val="24"/>
              </w:rPr>
            </w:pPr>
          </w:p>
        </w:tc>
        <w:tc>
          <w:tcPr>
            <w:tcW w:w="85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宋体"/>
                <w:sz w:val="24"/>
              </w:rPr>
            </w:pPr>
          </w:p>
        </w:tc>
        <w:tc>
          <w:tcPr>
            <w:tcW w:w="208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left"/>
            </w:pPr>
            <w:r>
              <w:rPr>
                <w:rFonts w:hint="eastAsia" w:ascii="楷体" w:hAnsi="楷体" w:eastAsia="楷体" w:cs="楷体"/>
                <w:kern w:val="0"/>
                <w:sz w:val="20"/>
                <w:szCs w:val="20"/>
              </w:rPr>
              <w:t>2.重复申请</w:t>
            </w:r>
          </w:p>
        </w:tc>
        <w:tc>
          <w:tcPr>
            <w:tcW w:w="81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81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97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712"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68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8"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sz w:val="24"/>
              </w:rPr>
            </w:pPr>
          </w:p>
        </w:tc>
        <w:tc>
          <w:tcPr>
            <w:tcW w:w="85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宋体"/>
                <w:sz w:val="24"/>
              </w:rPr>
            </w:pPr>
          </w:p>
        </w:tc>
        <w:tc>
          <w:tcPr>
            <w:tcW w:w="208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left"/>
            </w:pPr>
            <w:r>
              <w:rPr>
                <w:rFonts w:hint="eastAsia" w:ascii="楷体" w:hAnsi="楷体" w:eastAsia="楷体" w:cs="楷体"/>
                <w:kern w:val="0"/>
                <w:sz w:val="20"/>
                <w:szCs w:val="20"/>
              </w:rPr>
              <w:t>3.要求提供公开出版物</w:t>
            </w:r>
          </w:p>
        </w:tc>
        <w:tc>
          <w:tcPr>
            <w:tcW w:w="81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81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97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712"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68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8"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sz w:val="24"/>
              </w:rPr>
            </w:pPr>
          </w:p>
        </w:tc>
        <w:tc>
          <w:tcPr>
            <w:tcW w:w="85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宋体"/>
                <w:sz w:val="24"/>
              </w:rPr>
            </w:pPr>
          </w:p>
        </w:tc>
        <w:tc>
          <w:tcPr>
            <w:tcW w:w="208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left"/>
            </w:pPr>
            <w:r>
              <w:rPr>
                <w:rFonts w:hint="eastAsia" w:ascii="楷体" w:hAnsi="楷体" w:eastAsia="楷体" w:cs="楷体"/>
                <w:kern w:val="0"/>
                <w:sz w:val="20"/>
                <w:szCs w:val="20"/>
              </w:rPr>
              <w:t>4.无正当理由大量反复申请</w:t>
            </w:r>
          </w:p>
        </w:tc>
        <w:tc>
          <w:tcPr>
            <w:tcW w:w="81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81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97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712"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68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8"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sz w:val="24"/>
              </w:rPr>
            </w:pPr>
          </w:p>
        </w:tc>
        <w:tc>
          <w:tcPr>
            <w:tcW w:w="85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宋体"/>
                <w:sz w:val="24"/>
              </w:rPr>
            </w:pPr>
          </w:p>
        </w:tc>
        <w:tc>
          <w:tcPr>
            <w:tcW w:w="208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left"/>
            </w:pPr>
            <w:r>
              <w:rPr>
                <w:rFonts w:hint="eastAsia" w:ascii="楷体" w:hAnsi="楷体" w:eastAsia="楷体" w:cs="楷体"/>
                <w:kern w:val="0"/>
                <w:sz w:val="20"/>
                <w:szCs w:val="20"/>
              </w:rPr>
              <w:t>5.要求行政机关确认或重新出具已获取信息</w:t>
            </w:r>
          </w:p>
        </w:tc>
        <w:tc>
          <w:tcPr>
            <w:tcW w:w="81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81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97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712"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68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8"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sz w:val="24"/>
              </w:rPr>
            </w:pPr>
          </w:p>
        </w:tc>
        <w:tc>
          <w:tcPr>
            <w:tcW w:w="294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left"/>
            </w:pPr>
            <w:r>
              <w:rPr>
                <w:rFonts w:hint="eastAsia" w:ascii="楷体" w:hAnsi="楷体" w:eastAsia="楷体" w:cs="楷体"/>
                <w:kern w:val="0"/>
                <w:sz w:val="20"/>
                <w:szCs w:val="20"/>
              </w:rPr>
              <w:t>（六）其他处理</w:t>
            </w:r>
          </w:p>
        </w:tc>
        <w:tc>
          <w:tcPr>
            <w:tcW w:w="81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81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97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712"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68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8"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sz w:val="24"/>
              </w:rPr>
            </w:pPr>
          </w:p>
        </w:tc>
        <w:tc>
          <w:tcPr>
            <w:tcW w:w="294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left"/>
            </w:pPr>
            <w:r>
              <w:rPr>
                <w:rFonts w:hint="eastAsia" w:ascii="楷体" w:hAnsi="楷体" w:eastAsia="楷体" w:cs="楷体"/>
                <w:kern w:val="0"/>
                <w:sz w:val="20"/>
                <w:szCs w:val="20"/>
              </w:rPr>
              <w:t>（七）总计</w:t>
            </w:r>
          </w:p>
        </w:tc>
        <w:tc>
          <w:tcPr>
            <w:tcW w:w="81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81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97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712"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68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58"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jc w:val="left"/>
            </w:pPr>
            <w:r>
              <w:rPr>
                <w:rFonts w:hint="eastAsia" w:ascii="宋体" w:hAnsi="宋体" w:eastAsia="宋体" w:cs="宋体"/>
                <w:kern w:val="0"/>
                <w:sz w:val="20"/>
                <w:szCs w:val="20"/>
              </w:rPr>
              <w:t>四、结转下年度继续办理</w:t>
            </w:r>
          </w:p>
        </w:tc>
        <w:tc>
          <w:tcPr>
            <w:tcW w:w="81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81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97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712"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68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宋体"/>
                <w:sz w:val="24"/>
              </w:rPr>
            </w:pPr>
            <w:r>
              <w:rPr>
                <w:rFonts w:hint="eastAsia" w:ascii="宋体" w:hAnsi="宋体" w:eastAsia="宋体" w:cs="宋体"/>
                <w:color w:val="000000"/>
                <w:kern w:val="0"/>
                <w:sz w:val="20"/>
                <w:szCs w:val="20"/>
                <w:lang w:val="en-US" w:eastAsia="zh-CN"/>
              </w:rPr>
              <w:t>0</w:t>
            </w:r>
          </w:p>
        </w:tc>
      </w:tr>
    </w:tbl>
    <w:p>
      <w:pPr>
        <w:pStyle w:val="2"/>
        <w:widowControl/>
        <w:shd w:val="clear" w:color="auto" w:fill="FFFFFF"/>
        <w:spacing w:beforeAutospacing="0" w:afterAutospacing="0"/>
        <w:ind w:firstLine="420"/>
        <w:jc w:val="both"/>
        <w:rPr>
          <w:rFonts w:ascii="宋体" w:hAnsi="宋体" w:eastAsia="宋体" w:cs="宋体"/>
          <w:color w:val="333333"/>
        </w:rPr>
      </w:pPr>
    </w:p>
    <w:p>
      <w:pPr>
        <w:pStyle w:val="2"/>
        <w:widowControl/>
        <w:shd w:val="clear" w:color="auto" w:fill="FFFFFF"/>
        <w:spacing w:beforeAutospacing="0" w:afterAutospacing="0"/>
        <w:ind w:firstLine="420"/>
        <w:jc w:val="both"/>
        <w:rPr>
          <w:rFonts w:ascii="宋体" w:hAnsi="宋体" w:eastAsia="宋体" w:cs="宋体"/>
          <w:color w:val="333333"/>
        </w:rPr>
      </w:pPr>
      <w:r>
        <w:rPr>
          <w:rFonts w:hint="eastAsia" w:ascii="宋体" w:hAnsi="宋体" w:eastAsia="宋体" w:cs="宋体"/>
          <w:b/>
          <w:color w:val="333333"/>
          <w:shd w:val="clear" w:color="auto" w:fill="FFFFFF"/>
        </w:rPr>
        <w:t>四、政府信息公开行政复议、行政诉讼情况</w:t>
      </w:r>
    </w:p>
    <w:p>
      <w:pPr>
        <w:pStyle w:val="2"/>
        <w:widowControl/>
        <w:shd w:val="clear" w:color="auto" w:fill="FFFFFF"/>
        <w:spacing w:beforeAutospacing="0" w:afterAutospacing="0"/>
        <w:ind w:firstLine="420"/>
        <w:jc w:val="both"/>
        <w:rPr>
          <w:rFonts w:ascii="宋体" w:hAnsi="宋体" w:eastAsia="宋体" w:cs="宋体"/>
          <w:color w:val="333333"/>
        </w:rPr>
      </w:pPr>
    </w:p>
    <w:tbl>
      <w:tblPr>
        <w:tblStyle w:val="3"/>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kern w:val="0"/>
                <w:sz w:val="20"/>
                <w:szCs w:val="20"/>
              </w:rPr>
              <w:t>结果维持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kern w:val="0"/>
                <w:sz w:val="20"/>
                <w:szCs w:val="20"/>
              </w:rPr>
              <w:t>尚未审结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kern w:val="0"/>
                <w:sz w:val="20"/>
                <w:szCs w:val="20"/>
              </w:rPr>
              <w:t>总计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kern w:val="0"/>
                <w:sz w:val="20"/>
                <w:szCs w:val="20"/>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宋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宋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宋体"/>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宋体"/>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kern w:val="0"/>
                <w:sz w:val="20"/>
                <w:szCs w:val="20"/>
              </w:rPr>
              <w:t>其他结果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kern w:val="0"/>
                <w:sz w:val="20"/>
                <w:szCs w:val="20"/>
              </w:rPr>
              <w:t>尚未审结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其他结果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kern w:val="0"/>
                <w:sz w:val="20"/>
                <w:szCs w:val="20"/>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宋体"/>
                <w:sz w:val="24"/>
              </w:rPr>
            </w:pPr>
            <w:r>
              <w:rPr>
                <w:rFonts w:hint="eastAsia" w:ascii="宋体" w:hAnsi="宋体" w:eastAsia="宋体" w:cs="宋体"/>
                <w:color w:val="000000"/>
                <w:kern w:val="0"/>
                <w:sz w:val="20"/>
                <w:szCs w:val="20"/>
                <w:lang w:val="en-US" w:eastAsia="zh-CN"/>
              </w:rPr>
              <w:t>0</w:t>
            </w:r>
          </w:p>
        </w:tc>
      </w:tr>
    </w:tbl>
    <w:p>
      <w:pPr>
        <w:widowControl/>
        <w:shd w:val="clear" w:color="auto" w:fill="FFFFFF"/>
        <w:jc w:val="center"/>
        <w:rPr>
          <w:rFonts w:ascii="宋体" w:hAnsi="宋体" w:eastAsia="宋体" w:cs="宋体"/>
          <w:color w:val="333333"/>
          <w:sz w:val="24"/>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right="0"/>
        <w:jc w:val="left"/>
        <w:rPr>
          <w:rFonts w:hint="eastAsia" w:ascii="仿宋_GB2312" w:hAnsi="微软雅黑" w:eastAsia="仿宋_GB2312" w:cs="仿宋_GB2312"/>
          <w:i w:val="0"/>
          <w:caps w:val="0"/>
          <w:color w:val="000000"/>
          <w:spacing w:val="0"/>
          <w:kern w:val="0"/>
          <w:sz w:val="28"/>
          <w:szCs w:val="28"/>
          <w:shd w:val="clear" w:fill="FFFFFF"/>
          <w:lang w:val="en-US" w:eastAsia="zh-CN" w:bidi="ar"/>
        </w:rPr>
      </w:pPr>
      <w:r>
        <w:rPr>
          <w:rFonts w:hint="eastAsia" w:ascii="仿宋_GB2312" w:hAnsi="微软雅黑" w:eastAsia="仿宋_GB2312" w:cs="仿宋_GB2312"/>
          <w:i w:val="0"/>
          <w:caps w:val="0"/>
          <w:color w:val="000000"/>
          <w:spacing w:val="0"/>
          <w:kern w:val="0"/>
          <w:sz w:val="28"/>
          <w:szCs w:val="28"/>
          <w:shd w:val="clear" w:fill="FFFFFF"/>
          <w:lang w:val="en-US" w:eastAsia="zh-CN" w:bidi="ar"/>
        </w:rPr>
        <w:t>五、存在的主要问题及改进情况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firstLineChars="200"/>
        <w:jc w:val="left"/>
        <w:rPr>
          <w:rFonts w:hint="eastAsia" w:ascii="仿宋_GB2312" w:hAnsi="微软雅黑" w:eastAsia="仿宋_GB2312" w:cs="仿宋_GB2312"/>
          <w:i w:val="0"/>
          <w:caps w:val="0"/>
          <w:color w:val="000000"/>
          <w:spacing w:val="0"/>
          <w:kern w:val="0"/>
          <w:sz w:val="28"/>
          <w:szCs w:val="28"/>
          <w:shd w:val="clear" w:fill="FFFFFF"/>
          <w:lang w:val="en-US" w:eastAsia="zh-CN" w:bidi="ar"/>
        </w:rPr>
      </w:pPr>
      <w:r>
        <w:rPr>
          <w:rFonts w:hint="eastAsia" w:ascii="仿宋_GB2312" w:hAnsi="微软雅黑" w:eastAsia="仿宋_GB2312" w:cs="仿宋_GB2312"/>
          <w:i w:val="0"/>
          <w:caps w:val="0"/>
          <w:color w:val="000000"/>
          <w:spacing w:val="0"/>
          <w:kern w:val="0"/>
          <w:sz w:val="28"/>
          <w:szCs w:val="28"/>
          <w:shd w:val="clear" w:fill="FFFFFF"/>
          <w:lang w:val="en-US" w:eastAsia="zh-CN" w:bidi="ar"/>
        </w:rPr>
        <w:t>过去一年，我局政府信息公开工作取得了一定的成绩，但也存在一些问题与不足，主要表现为：一是对政府信息公开的重要性的认识还需进一步增强，目前部分股室的信息公开还不够及时；二是政府信息公开的内容和形式还需进一步深化和拓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firstLineChars="200"/>
        <w:jc w:val="left"/>
        <w:rPr>
          <w:rFonts w:hint="eastAsia" w:ascii="仿宋_GB2312" w:hAnsi="微软雅黑" w:eastAsia="仿宋_GB2312" w:cs="仿宋_GB2312"/>
          <w:i w:val="0"/>
          <w:caps w:val="0"/>
          <w:color w:val="000000"/>
          <w:spacing w:val="0"/>
          <w:kern w:val="0"/>
          <w:sz w:val="28"/>
          <w:szCs w:val="28"/>
          <w:shd w:val="clear" w:fill="FFFFFF"/>
          <w:lang w:val="en-US" w:eastAsia="zh-CN" w:bidi="ar"/>
        </w:rPr>
      </w:pPr>
      <w:r>
        <w:rPr>
          <w:rFonts w:hint="eastAsia" w:ascii="仿宋_GB2312" w:hAnsi="微软雅黑" w:eastAsia="仿宋_GB2312" w:cs="仿宋_GB2312"/>
          <w:i w:val="0"/>
          <w:caps w:val="0"/>
          <w:color w:val="000000"/>
          <w:spacing w:val="0"/>
          <w:kern w:val="0"/>
          <w:sz w:val="28"/>
          <w:szCs w:val="28"/>
          <w:shd w:val="clear" w:fill="FFFFFF"/>
          <w:lang w:val="en-US" w:eastAsia="zh-CN" w:bidi="ar"/>
        </w:rPr>
        <w:t>2019年，我局将认真总结经验，努力探索工作规律，全面深入地推进政府信息公开工作。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firstLineChars="200"/>
        <w:jc w:val="left"/>
        <w:rPr>
          <w:rFonts w:hint="eastAsia" w:ascii="仿宋_GB2312" w:hAnsi="微软雅黑" w:eastAsia="仿宋_GB2312" w:cs="仿宋_GB2312"/>
          <w:i w:val="0"/>
          <w:caps w:val="0"/>
          <w:color w:val="000000"/>
          <w:spacing w:val="0"/>
          <w:kern w:val="0"/>
          <w:sz w:val="28"/>
          <w:szCs w:val="28"/>
          <w:shd w:val="clear" w:fill="FFFFFF"/>
          <w:lang w:val="en-US" w:eastAsia="zh-CN" w:bidi="ar"/>
        </w:rPr>
      </w:pPr>
      <w:r>
        <w:rPr>
          <w:rFonts w:hint="eastAsia" w:ascii="仿宋_GB2312" w:hAnsi="微软雅黑" w:eastAsia="仿宋_GB2312" w:cs="仿宋_GB2312"/>
          <w:i w:val="0"/>
          <w:caps w:val="0"/>
          <w:color w:val="000000"/>
          <w:spacing w:val="0"/>
          <w:kern w:val="0"/>
          <w:sz w:val="28"/>
          <w:szCs w:val="28"/>
          <w:shd w:val="clear" w:fill="FFFFFF"/>
          <w:lang w:val="en-US" w:eastAsia="zh-CN" w:bidi="ar"/>
        </w:rPr>
        <w:t>一是进一步完善湛江市政府和吴川市政府分支网站建设。充分发挥门户网站覆盖面广、权威性高和传播速度快的优势，扩大信息公开范围，丰富公开内容，加大政府信息的发布力度。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firstLineChars="200"/>
        <w:jc w:val="left"/>
        <w:rPr>
          <w:rFonts w:hint="eastAsia" w:ascii="仿宋_GB2312" w:hAnsi="微软雅黑" w:eastAsia="仿宋_GB2312" w:cs="仿宋_GB2312"/>
          <w:i w:val="0"/>
          <w:caps w:val="0"/>
          <w:color w:val="000000"/>
          <w:spacing w:val="0"/>
          <w:kern w:val="0"/>
          <w:sz w:val="28"/>
          <w:szCs w:val="28"/>
          <w:shd w:val="clear" w:fill="FFFFFF"/>
          <w:lang w:val="en-US" w:eastAsia="zh-CN" w:bidi="ar"/>
        </w:rPr>
      </w:pPr>
      <w:r>
        <w:rPr>
          <w:rFonts w:hint="eastAsia" w:ascii="仿宋_GB2312" w:hAnsi="微软雅黑" w:eastAsia="仿宋_GB2312" w:cs="仿宋_GB2312"/>
          <w:i w:val="0"/>
          <w:caps w:val="0"/>
          <w:color w:val="000000"/>
          <w:spacing w:val="0"/>
          <w:kern w:val="0"/>
          <w:sz w:val="28"/>
          <w:szCs w:val="28"/>
          <w:shd w:val="clear" w:fill="FFFFFF"/>
          <w:lang w:val="en-US" w:eastAsia="zh-CN" w:bidi="ar"/>
        </w:rPr>
        <w:t>二是丰富深化政府信息公开内容和拓宽政府信息公开渠道。按照“公开为原则，不公开为例外”的总体要求，进一步梳理、深化本部门信息公开内容，确保该公开内容全部公开，涉密内容不公开。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firstLineChars="200"/>
        <w:jc w:val="left"/>
        <w:rPr>
          <w:rFonts w:hint="eastAsia" w:ascii="仿宋_GB2312" w:hAnsi="微软雅黑" w:eastAsia="仿宋_GB2312" w:cs="仿宋_GB2312"/>
          <w:i w:val="0"/>
          <w:caps w:val="0"/>
          <w:color w:val="000000"/>
          <w:spacing w:val="0"/>
          <w:kern w:val="0"/>
          <w:sz w:val="28"/>
          <w:szCs w:val="28"/>
          <w:shd w:val="clear" w:fill="FFFFFF"/>
          <w:lang w:val="en-US" w:eastAsia="zh-CN" w:bidi="ar"/>
        </w:rPr>
      </w:pPr>
      <w:r>
        <w:rPr>
          <w:rFonts w:hint="eastAsia" w:ascii="仿宋_GB2312" w:hAnsi="微软雅黑" w:eastAsia="仿宋_GB2312" w:cs="仿宋_GB2312"/>
          <w:i w:val="0"/>
          <w:caps w:val="0"/>
          <w:color w:val="000000"/>
          <w:spacing w:val="0"/>
          <w:kern w:val="0"/>
          <w:sz w:val="28"/>
          <w:szCs w:val="28"/>
          <w:shd w:val="clear" w:fill="FFFFFF"/>
          <w:lang w:val="en-US" w:eastAsia="zh-CN" w:bidi="ar"/>
        </w:rPr>
        <w:t>三是加强本部门政府信息公开工作人员的业务学习和培训，促进政府信息及时、准确、规范公开。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firstLineChars="200"/>
        <w:jc w:val="left"/>
        <w:rPr>
          <w:rFonts w:hint="eastAsia" w:ascii="仿宋_GB2312" w:hAnsi="微软雅黑" w:eastAsia="仿宋_GB2312" w:cs="仿宋_GB2312"/>
          <w:i w:val="0"/>
          <w:caps w:val="0"/>
          <w:color w:val="000000"/>
          <w:spacing w:val="0"/>
          <w:kern w:val="0"/>
          <w:sz w:val="28"/>
          <w:szCs w:val="28"/>
          <w:shd w:val="clear" w:fill="FFFFFF"/>
          <w:lang w:val="en-US" w:eastAsia="zh-CN" w:bidi="ar"/>
        </w:rPr>
      </w:pPr>
      <w:r>
        <w:rPr>
          <w:rFonts w:hint="eastAsia" w:ascii="仿宋_GB2312" w:hAnsi="微软雅黑" w:eastAsia="仿宋_GB2312" w:cs="仿宋_GB2312"/>
          <w:i w:val="0"/>
          <w:caps w:val="0"/>
          <w:color w:val="000000"/>
          <w:spacing w:val="0"/>
          <w:kern w:val="0"/>
          <w:sz w:val="28"/>
          <w:szCs w:val="28"/>
          <w:shd w:val="clear" w:fill="FFFFFF"/>
          <w:lang w:val="en-US" w:eastAsia="zh-CN" w:bidi="ar"/>
        </w:rPr>
        <w:t>四是进一步健全和完善信息公开各项制度。结合工作实际，进一步修改和完善信息公开制度，建立内容保障长效机制，调动各股室信息报送的主动性和积极性，确保政务信息公开的质量和实用性要求，不断提高市经科局政府信息公开整体工作水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firstLineChars="200"/>
        <w:jc w:val="left"/>
        <w:rPr>
          <w:rFonts w:hint="eastAsia" w:ascii="仿宋_GB2312" w:hAnsi="微软雅黑" w:eastAsia="仿宋_GB2312" w:cs="仿宋_GB2312"/>
          <w:i w:val="0"/>
          <w:caps w:val="0"/>
          <w:color w:val="000000"/>
          <w:spacing w:val="0"/>
          <w:kern w:val="0"/>
          <w:sz w:val="28"/>
          <w:szCs w:val="28"/>
          <w:shd w:val="clear" w:fill="FFFFFF"/>
          <w:lang w:val="en-US" w:eastAsia="zh-CN" w:bidi="ar"/>
        </w:rPr>
      </w:pPr>
      <w:r>
        <w:rPr>
          <w:rFonts w:hint="eastAsia" w:ascii="仿宋_GB2312" w:hAnsi="微软雅黑" w:eastAsia="仿宋_GB2312" w:cs="仿宋_GB2312"/>
          <w:i w:val="0"/>
          <w:caps w:val="0"/>
          <w:color w:val="000000"/>
          <w:spacing w:val="0"/>
          <w:kern w:val="0"/>
          <w:sz w:val="28"/>
          <w:szCs w:val="28"/>
          <w:shd w:val="clear" w:fill="FFFFFF"/>
          <w:lang w:val="en-US" w:eastAsia="zh-CN" w:bidi="ar"/>
        </w:rPr>
        <w:t>我局将把政府信息公开工作摆到更加重要的位置，加强领导和监督，完善运转的工作机制，认真做好政府信息公开工作，在推动政府职能转变、加强党风廉政建设方面发挥更大作用。</w:t>
      </w:r>
    </w:p>
    <w:p>
      <w:pPr>
        <w:rPr>
          <w:rStyle w:val="5"/>
          <w:rFonts w:ascii="微软雅黑" w:hAnsi="微软雅黑" w:eastAsia="微软雅黑" w:cs="微软雅黑"/>
          <w:b w:val="0"/>
          <w:bCs/>
          <w:i w:val="0"/>
          <w:caps w:val="0"/>
          <w:color w:val="424242"/>
          <w:spacing w:val="0"/>
          <w:sz w:val="27"/>
          <w:szCs w:val="27"/>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firstLineChars="200"/>
        <w:jc w:val="right"/>
        <w:rPr>
          <w:rFonts w:hint="eastAsia" w:ascii="仿宋_GB2312" w:hAnsi="微软雅黑" w:eastAsia="仿宋_GB2312" w:cs="仿宋_GB2312"/>
          <w:i w:val="0"/>
          <w:caps w:val="0"/>
          <w:color w:val="000000"/>
          <w:spacing w:val="0"/>
          <w:kern w:val="0"/>
          <w:sz w:val="28"/>
          <w:szCs w:val="28"/>
          <w:shd w:val="clear" w:fill="FFFFFF"/>
          <w:lang w:val="en-US" w:eastAsia="zh-CN" w:bidi="ar"/>
        </w:rPr>
      </w:pPr>
      <w:r>
        <w:rPr>
          <w:rFonts w:hint="eastAsia" w:ascii="仿宋_GB2312" w:hAnsi="微软雅黑" w:eastAsia="仿宋_GB2312" w:cs="仿宋_GB2312"/>
          <w:i w:val="0"/>
          <w:caps w:val="0"/>
          <w:color w:val="000000"/>
          <w:spacing w:val="0"/>
          <w:kern w:val="0"/>
          <w:sz w:val="28"/>
          <w:szCs w:val="28"/>
          <w:shd w:val="clear" w:fill="FFFFFF"/>
          <w:lang w:val="en-US" w:eastAsia="zh-CN" w:bidi="ar"/>
        </w:rPr>
        <w:t>吴川市科工贸和信息化局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560" w:firstLineChars="200"/>
        <w:jc w:val="right"/>
        <w:rPr>
          <w:rFonts w:hint="default" w:ascii="仿宋_GB2312" w:hAnsi="微软雅黑" w:eastAsia="仿宋_GB2312" w:cs="仿宋_GB2312"/>
          <w:i w:val="0"/>
          <w:caps w:val="0"/>
          <w:color w:val="000000"/>
          <w:spacing w:val="0"/>
          <w:kern w:val="0"/>
          <w:sz w:val="28"/>
          <w:szCs w:val="28"/>
          <w:shd w:val="clear" w:fill="FFFFFF"/>
          <w:lang w:val="en-US" w:eastAsia="zh-CN" w:bidi="ar"/>
        </w:rPr>
      </w:pPr>
      <w:r>
        <w:rPr>
          <w:rFonts w:hint="eastAsia" w:ascii="仿宋_GB2312" w:hAnsi="微软雅黑" w:eastAsia="仿宋_GB2312" w:cs="仿宋_GB2312"/>
          <w:i w:val="0"/>
          <w:caps w:val="0"/>
          <w:color w:val="000000"/>
          <w:spacing w:val="0"/>
          <w:kern w:val="0"/>
          <w:sz w:val="28"/>
          <w:szCs w:val="28"/>
          <w:shd w:val="clear" w:fill="FFFFFF"/>
          <w:lang w:val="en-US" w:eastAsia="zh-CN" w:bidi="ar"/>
        </w:rPr>
        <w:t xml:space="preserve">2020年1月31日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wYTAxMjBiZGUzNTM4M2I1ZjEzOGJkYjM2OGY4ZDAifQ=="/>
  </w:docVars>
  <w:rsids>
    <w:rsidRoot w:val="00000000"/>
    <w:rsid w:val="013007FD"/>
    <w:rsid w:val="02E90FF7"/>
    <w:rsid w:val="05103F33"/>
    <w:rsid w:val="06B5263F"/>
    <w:rsid w:val="08DE4614"/>
    <w:rsid w:val="0CE81773"/>
    <w:rsid w:val="1F077476"/>
    <w:rsid w:val="23510ECA"/>
    <w:rsid w:val="2DE44C23"/>
    <w:rsid w:val="2F067808"/>
    <w:rsid w:val="385147AD"/>
    <w:rsid w:val="3F2F77E8"/>
    <w:rsid w:val="4CDE5CF5"/>
    <w:rsid w:val="561F5FB5"/>
    <w:rsid w:val="5A066938"/>
    <w:rsid w:val="67201330"/>
    <w:rsid w:val="675337BE"/>
    <w:rsid w:val="69745E52"/>
    <w:rsid w:val="6C383FBD"/>
    <w:rsid w:val="717054FD"/>
    <w:rsid w:val="72F06E5B"/>
    <w:rsid w:val="74003F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2557</Words>
  <Characters>2618</Characters>
  <Lines>0</Lines>
  <Paragraphs>0</Paragraphs>
  <TotalTime>1</TotalTime>
  <ScaleCrop>false</ScaleCrop>
  <LinksUpToDate>false</LinksUpToDate>
  <CharactersWithSpaces>2621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2020-02-07T02:17:00Z</dcterms:created>
  <dc:creator>Administrator</dc:creator>
  <cp:lastModifiedBy>清风</cp:lastModifiedBy>
  <dcterms:modified xsi:type="dcterms:W3CDTF">2022-09-09T07:04:06Z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903EDFCD309142F8969BAE2E174776F6</vt:lpwstr>
  </property>
</Properties>
</file>