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snapToGrid/>
        <w:spacing w:after="313" w:afterLines="10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粤商通年报填报操作指引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27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313" w:afterLines="100" w:afterAutospacing="0" w:line="360" w:lineRule="auto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为进一步深化“放管服”改革，减轻市场主体负担，广东省政务数据服务管理局、广东省市场监督管理局拓展企业、个体户、农民专业合作社年报渠道，于“粤商通”APP上线年报报送服务。广东省内登记注册的市场主体足不出户，无需电脑即可完成年报填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27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313" w:afterLines="100" w:afterAutospacing="0" w:line="360" w:lineRule="auto"/>
        <w:ind w:right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00B0F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本操作指引适用于广东省内（除广州、深圳、珠海）登记注册的个体工商户、企业（除外国投资企业/机构）、农民专业合作社。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广东省内其余城市年报填报操作指引请下滑至【常见问题】模块查询。</w:t>
      </w:r>
    </w:p>
    <w:p>
      <w:pPr>
        <w:numPr>
          <w:ilvl w:val="0"/>
          <w:numId w:val="1"/>
        </w:numPr>
        <w:tabs>
          <w:tab w:val="left" w:pos="2730"/>
        </w:tabs>
        <w:spacing w:line="360" w:lineRule="auto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下载APP</w:t>
      </w:r>
    </w:p>
    <w:p>
      <w:pPr>
        <w:numPr>
          <w:ilvl w:val="0"/>
          <w:numId w:val="2"/>
        </w:numPr>
        <w:tabs>
          <w:tab w:val="left" w:pos="2730"/>
        </w:tabs>
        <w:spacing w:line="360" w:lineRule="auto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扫码下载</w:t>
      </w:r>
    </w:p>
    <w:p>
      <w:pPr>
        <w:numPr>
          <w:ilvl w:val="0"/>
          <w:numId w:val="0"/>
        </w:numPr>
        <w:tabs>
          <w:tab w:val="left" w:pos="2730"/>
        </w:tabs>
        <w:spacing w:line="360" w:lineRule="auto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扫描下方二维码，下载粤商通APP。</w:t>
      </w:r>
    </w:p>
    <w:p>
      <w:pPr>
        <w:numPr>
          <w:ilvl w:val="0"/>
          <w:numId w:val="0"/>
        </w:numPr>
        <w:tabs>
          <w:tab w:val="left" w:pos="2730"/>
        </w:tabs>
        <w:spacing w:line="360" w:lineRule="auto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1289685" cy="1289685"/>
            <wp:effectExtent l="0" t="0" r="5715" b="5715"/>
            <wp:docPr id="1" name="图片 1" descr="二维码图片_6月8日16时46分29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维码图片_6月8日16时46分29秒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89685" cy="128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tabs>
          <w:tab w:val="left" w:pos="2730"/>
        </w:tabs>
        <w:spacing w:line="360" w:lineRule="auto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搜索下载</w:t>
      </w:r>
    </w:p>
    <w:p>
      <w:pPr>
        <w:numPr>
          <w:ilvl w:val="0"/>
          <w:numId w:val="0"/>
        </w:numPr>
        <w:tabs>
          <w:tab w:val="left" w:pos="2730"/>
        </w:tabs>
        <w:spacing w:line="360" w:lineRule="auto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通过各手机应用商店、浏览器搜索“粤商通APP”完成下载。苹果商店、应用宝、华为手机市场、360手机助手、小米手机市场、OPPO手机市场、VIVO手机市场同步更新。</w:t>
      </w:r>
    </w:p>
    <w:p>
      <w:pPr>
        <w:numPr>
          <w:ilvl w:val="0"/>
          <w:numId w:val="0"/>
        </w:numPr>
        <w:tabs>
          <w:tab w:val="left" w:pos="2730"/>
        </w:tabs>
        <w:spacing w:line="360" w:lineRule="auto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tabs>
          <w:tab w:val="left" w:pos="2730"/>
        </w:tabs>
        <w:spacing w:line="360" w:lineRule="auto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进入年报系统</w:t>
      </w:r>
    </w:p>
    <w:p>
      <w:pPr>
        <w:numPr>
          <w:ilvl w:val="0"/>
          <w:numId w:val="0"/>
        </w:numPr>
        <w:tabs>
          <w:tab w:val="left" w:pos="2730"/>
        </w:tabs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点击APP首页左上角位置信息，将其切换至</w:t>
      </w:r>
      <w:r>
        <w:rPr>
          <w:rFonts w:hint="eastAsia" w:ascii="仿宋_GB2312" w:hAnsi="仿宋_GB2312" w:eastAsia="仿宋_GB2312" w:cs="仿宋_GB2312"/>
          <w:b/>
          <w:bCs/>
          <w:color w:val="00B0F0"/>
          <w:sz w:val="32"/>
          <w:szCs w:val="32"/>
          <w:lang w:val="en-US" w:eastAsia="zh-CN"/>
        </w:rPr>
        <w:t>年报市场主体所在城市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后，点击</w:t>
      </w:r>
      <w:r>
        <w:rPr>
          <w:rFonts w:hint="eastAsia" w:ascii="仿宋_GB2312" w:hAnsi="仿宋_GB2312" w:eastAsia="仿宋_GB2312" w:cs="仿宋_GB2312"/>
          <w:b/>
          <w:bCs/>
          <w:color w:val="00B0F0"/>
          <w:sz w:val="32"/>
          <w:szCs w:val="32"/>
          <w:lang w:val="en-US" w:eastAsia="zh-CN"/>
        </w:rPr>
        <w:t>【填写年报】-【年度报告填写】</w:t>
      </w:r>
      <w:r>
        <w:rPr>
          <w:rFonts w:hint="eastAsia" w:ascii="仿宋_GB2312" w:hAnsi="仿宋_GB2312" w:eastAsia="仿宋_GB2312" w:cs="仿宋_GB2312"/>
          <w:b w:val="0"/>
          <w:bCs w:val="0"/>
          <w:color w:val="00B0F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  <w:b/>
          <w:bCs/>
          <w:color w:val="00B0F0"/>
          <w:sz w:val="32"/>
          <w:szCs w:val="32"/>
          <w:lang w:val="en-US" w:eastAsia="zh-CN"/>
        </w:rPr>
        <w:t>人脸识别验证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后，即可进入年报系统。</w:t>
      </w:r>
    </w:p>
    <w:p>
      <w:pPr>
        <w:numPr>
          <w:ilvl w:val="0"/>
          <w:numId w:val="0"/>
        </w:numPr>
        <w:tabs>
          <w:tab w:val="left" w:pos="2730"/>
        </w:tabs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342255" cy="3091815"/>
            <wp:effectExtent l="0" t="0" r="4445" b="698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2255" cy="309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2730"/>
        </w:tabs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tabs>
          <w:tab w:val="left" w:pos="2730"/>
        </w:tabs>
        <w:spacing w:line="360" w:lineRule="auto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联络员注册/变更</w:t>
      </w:r>
    </w:p>
    <w:p>
      <w:pPr>
        <w:numPr>
          <w:ilvl w:val="0"/>
          <w:numId w:val="0"/>
        </w:numPr>
        <w:tabs>
          <w:tab w:val="left" w:pos="2730"/>
        </w:tabs>
        <w:spacing w:line="360" w:lineRule="auto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仅联络员可为市场主体填报年报。如果系统内没有显示所需年报的市场主体，</w:t>
      </w:r>
      <w:r>
        <w:rPr>
          <w:rFonts w:hint="eastAsia" w:ascii="仿宋_GB2312" w:hAnsi="仿宋_GB2312" w:eastAsia="仿宋_GB2312" w:cs="仿宋_GB2312"/>
          <w:b/>
          <w:bCs/>
          <w:color w:val="00B0F0"/>
          <w:sz w:val="32"/>
          <w:szCs w:val="32"/>
          <w:lang w:val="en-US" w:eastAsia="zh-CN"/>
        </w:rPr>
        <w:t>点击【添加】按钮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，提交相关信息后，即可</w:t>
      </w:r>
      <w:r>
        <w:rPr>
          <w:rFonts w:hint="eastAsia" w:ascii="仿宋_GB2312" w:hAnsi="仿宋_GB2312" w:eastAsia="仿宋_GB2312" w:cs="仿宋_GB2312"/>
          <w:b/>
          <w:bCs/>
          <w:color w:val="00B0F0"/>
          <w:sz w:val="32"/>
          <w:szCs w:val="32"/>
          <w:lang w:val="en-US" w:eastAsia="zh-CN"/>
        </w:rPr>
        <w:t>成为联络员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tabs>
          <w:tab w:val="left" w:pos="2730"/>
        </w:tabs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3388995" cy="3279775"/>
            <wp:effectExtent l="0" t="0" r="1905" b="9525"/>
            <wp:docPr id="41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88995" cy="327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tabs>
          <w:tab w:val="left" w:pos="2730"/>
        </w:tabs>
        <w:spacing w:line="360" w:lineRule="auto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年报报送</w:t>
      </w:r>
    </w:p>
    <w:p>
      <w:pPr>
        <w:numPr>
          <w:ilvl w:val="0"/>
          <w:numId w:val="0"/>
        </w:numPr>
        <w:tabs>
          <w:tab w:val="left" w:pos="2730"/>
        </w:tabs>
        <w:spacing w:line="360" w:lineRule="auto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选择列表内任一市场主体，点击</w:t>
      </w:r>
      <w:r>
        <w:rPr>
          <w:rFonts w:hint="eastAsia" w:ascii="仿宋_GB2312" w:hAnsi="仿宋_GB2312" w:eastAsia="仿宋_GB2312" w:cs="仿宋_GB2312"/>
          <w:b/>
          <w:bCs/>
          <w:color w:val="00B0F0"/>
          <w:sz w:val="32"/>
          <w:szCs w:val="32"/>
          <w:lang w:val="en-US" w:eastAsia="zh-CN"/>
        </w:rPr>
        <w:t>【年报填写】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，即可为其报送年报。</w:t>
      </w:r>
    </w:p>
    <w:p>
      <w:pPr>
        <w:numPr>
          <w:ilvl w:val="0"/>
          <w:numId w:val="0"/>
        </w:numPr>
        <w:tabs>
          <w:tab w:val="left" w:pos="2730"/>
        </w:tabs>
        <w:spacing w:line="360" w:lineRule="auto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3441700" cy="3536315"/>
            <wp:effectExtent l="0" t="0" r="0" b="6985"/>
            <wp:docPr id="42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1700" cy="353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2730"/>
        </w:tabs>
        <w:spacing w:line="360" w:lineRule="auto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2730"/>
        </w:tabs>
        <w:spacing w:line="360" w:lineRule="auto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2730"/>
        </w:tabs>
        <w:spacing w:line="360" w:lineRule="auto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常见问题</w:t>
      </w:r>
    </w:p>
    <w:p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0" w:firstLineChars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“粤商通”APP支持哪些市场主体进行年报填写？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答：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深圳市个体工商户、内资企业、外商投资企业/机构、外国常驻代表机构可通过粤商通APP进行年报填报。广东省其余城市注册的个体工商户、企业(除外商投资企业/机构）、农民专业合作社可通过粤商通APP进行年报。</w:t>
      </w:r>
    </w:p>
    <w:p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0" w:firstLineChars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广东省内其余地市市场主体年报填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报指引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答：请复制下方链接至浏览器查询：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广州市年报填报指引：</w:t>
      </w:r>
      <w:r>
        <w:rPr>
          <w:rFonts w:ascii="宋体" w:hAnsi="宋体" w:eastAsia="宋体" w:cs="宋体"/>
          <w:sz w:val="24"/>
          <w:szCs w:val="24"/>
        </w:rPr>
        <w:t>http://qr61.cn/o7bcvL/qTmrvqR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深圳市年报填报指引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：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>http://qr61.cn/o7bcvL/qG5na8c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珠海市年报填报指引：</w:t>
      </w:r>
      <w:r>
        <w:rPr>
          <w:rFonts w:ascii="宋体" w:hAnsi="宋体" w:eastAsia="宋体" w:cs="宋体"/>
          <w:sz w:val="24"/>
          <w:szCs w:val="24"/>
        </w:rPr>
        <w:t>http://qr61.cn/o7bcvL/q4lOd7P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0" w:firstLineChars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我之前曾经办理了营业执照，现在已没再营业，我还需要年报吗？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答：只要是登记在册的市场主体都必须填报年度报告。如果不再经营请尽快到市场监督管理局办理注销登记。已完成注销登记的无需再报送年报。</w:t>
      </w:r>
    </w:p>
    <w:p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0" w:firstLineChars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今年注册的企业/个体户/农民专业合作社/外国常驻代表机构今年需要填报年报吗？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Chars="0" w:right="0" w:right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答：不用。上一年度12月31日前登记在册的且本年度未注销的市场主体需填报年报。</w:t>
      </w:r>
    </w:p>
    <w:p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0" w:firstLineChars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填写时金额时应注意什么？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答：应看清金额后的具体单位，注意别将万元当元填写。</w:t>
      </w:r>
    </w:p>
    <w:p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0" w:firstLineChars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年报联络员是什么人？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答：“年报联络员”应为企业、个体工商户、农民专业合作社指定的本单位相对固定的人员，可以是法定代表人（负责人），也可以是股东、高级管理人员或一般工作人员。</w:t>
      </w:r>
    </w:p>
    <w:p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0" w:firstLineChars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显示“补报年度报告”是怎么回事？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答：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显示“补报年度报告”意味着该市场主体往年未填报年报。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须先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在系统内完成年报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补报，再报送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上一年度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年报。</w:t>
      </w:r>
    </w:p>
    <w:p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0" w:firstLineChars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如果已提交年报，但发现内容不准确，可以修改吗？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答：年报提交截止日期前发现填报错误或有遗漏可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重新进入年报系统进行修改。</w:t>
      </w:r>
    </w:p>
    <w:p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0" w:firstLineChars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企业的资产状况等较为机密的信息也需要公示吗？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答：企业资产状况、对外担保、从业人数、社保缴费等信息为非强制性公示的事项，可选择是否向社会公示。</w:t>
      </w:r>
    </w:p>
    <w:p>
      <w:pPr>
        <w:numPr>
          <w:ilvl w:val="0"/>
          <w:numId w:val="0"/>
        </w:numPr>
        <w:tabs>
          <w:tab w:val="left" w:pos="2730"/>
        </w:tabs>
        <w:spacing w:line="360" w:lineRule="auto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问题反馈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如填写年报过程中遇到问题，可通过以下途径反馈：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 常见问题：点击年报系统内“常见问题及咨询方式”按钮，快速解答某个常见问题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 拨打热线：020-12345、020-29859688（转68054）、020-62833211（选择粤商通业务）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 留言咨询：点击APP首页右下方【我的】后，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按顺序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点击【咨询反馈】-【我要咨询】-聊天窗口右下方【＋】-【留言咨询】-【我要咨询】或【我要求助】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为方便定位问题，请在咨询时主动提供市场主体名称、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统一社会信用代码、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联络员姓名及身份证号码，详细描述您所遇到的问题并提供相关证明（如截图或录屏）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2E2EA4"/>
    <w:multiLevelType w:val="singleLevel"/>
    <w:tmpl w:val="C12E2EA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01EAB3C"/>
    <w:multiLevelType w:val="singleLevel"/>
    <w:tmpl w:val="E01EAB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F3EA0C9"/>
    <w:multiLevelType w:val="singleLevel"/>
    <w:tmpl w:val="FF3EA0C9"/>
    <w:lvl w:ilvl="0" w:tentative="0">
      <w:start w:val="1"/>
      <w:numFmt w:val="chineseCounting"/>
      <w:suff w:val="space"/>
      <w:lvlText w:val="（%1）"/>
      <w:lvlJc w:val="left"/>
      <w:rPr>
        <w:rFonts w:hint="eastAsia"/>
      </w:rPr>
    </w:lvl>
  </w:abstractNum>
  <w:abstractNum w:abstractNumId="3">
    <w:nsid w:val="397AA2D8"/>
    <w:multiLevelType w:val="singleLevel"/>
    <w:tmpl w:val="397AA2D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yNjJkZjgyZGE3MWI2ZGYzZDA4ODY1OWIyYTQ2YjIifQ=="/>
  </w:docVars>
  <w:rsids>
    <w:rsidRoot w:val="00000000"/>
    <w:rsid w:val="0BBE4AEF"/>
    <w:rsid w:val="13FE3213"/>
    <w:rsid w:val="1A397D25"/>
    <w:rsid w:val="206C021E"/>
    <w:rsid w:val="24C32464"/>
    <w:rsid w:val="31122A3D"/>
    <w:rsid w:val="34A75871"/>
    <w:rsid w:val="456C1A6C"/>
    <w:rsid w:val="473D1F8D"/>
    <w:rsid w:val="4B4678F6"/>
    <w:rsid w:val="4C053E3F"/>
    <w:rsid w:val="4D40606D"/>
    <w:rsid w:val="4DE60A74"/>
    <w:rsid w:val="4E497AE8"/>
    <w:rsid w:val="4F1418FD"/>
    <w:rsid w:val="519903AE"/>
    <w:rsid w:val="53680D4D"/>
    <w:rsid w:val="55C92DED"/>
    <w:rsid w:val="5D547103"/>
    <w:rsid w:val="5EC647D8"/>
    <w:rsid w:val="7CFF1CED"/>
    <w:rsid w:val="7E85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1389</Words>
  <Characters>1538</Characters>
  <Lines>0</Lines>
  <Paragraphs>0</Paragraphs>
  <TotalTime>5</TotalTime>
  <ScaleCrop>false</ScaleCrop>
  <LinksUpToDate>false</LinksUpToDate>
  <CharactersWithSpaces>1556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2022-05-11T08:05:00Z</dcterms:created>
  <dc:creator>Digital</dc:creator>
  <cp:lastModifiedBy>清风</cp:lastModifiedBy>
  <dcterms:modified xsi:type="dcterms:W3CDTF">2023-02-03T08:52:39Z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8B0998796732446C81A958A33A722FEE</vt:lpwstr>
  </property>
</Properties>
</file>